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
        <w:tblW w:w="10154" w:type="dxa"/>
        <w:tblLook w:val="04A0" w:firstRow="1" w:lastRow="0" w:firstColumn="1" w:lastColumn="0" w:noHBand="0" w:noVBand="1"/>
      </w:tblPr>
      <w:tblGrid>
        <w:gridCol w:w="2538"/>
        <w:gridCol w:w="2539"/>
        <w:gridCol w:w="2378"/>
        <w:gridCol w:w="2699"/>
      </w:tblGrid>
      <w:tr w:rsidR="003F5398" w:rsidRPr="00434734" w14:paraId="5DB4384E" w14:textId="77777777" w:rsidTr="003F5398">
        <w:trPr>
          <w:trHeight w:val="1778"/>
        </w:trPr>
        <w:tc>
          <w:tcPr>
            <w:tcW w:w="2538" w:type="dxa"/>
            <w:tcBorders>
              <w:top w:val="single" w:sz="12" w:space="0" w:color="auto"/>
              <w:left w:val="single" w:sz="12" w:space="0" w:color="auto"/>
              <w:bottom w:val="single" w:sz="12" w:space="0" w:color="auto"/>
              <w:right w:val="single" w:sz="12" w:space="0" w:color="auto"/>
            </w:tcBorders>
          </w:tcPr>
          <w:p w14:paraId="4B25CB34" w14:textId="77777777" w:rsidR="003F5398" w:rsidRPr="00434734" w:rsidRDefault="003F5398" w:rsidP="003F5398">
            <w:pPr>
              <w:spacing w:before="240" w:after="240"/>
              <w:jc w:val="center"/>
              <w:rPr>
                <w:rFonts w:ascii="Arial" w:hAnsi="Arial" w:cs="Arial"/>
                <w:color w:val="auto"/>
              </w:rPr>
            </w:pPr>
            <w:r w:rsidRPr="00434734">
              <w:rPr>
                <w:rFonts w:ascii="Arial" w:hAnsi="Arial" w:cs="Arial"/>
                <w:noProof/>
                <w:color w:val="auto"/>
              </w:rPr>
              <w:drawing>
                <wp:inline distT="0" distB="0" distL="0" distR="0" wp14:anchorId="599197A4" wp14:editId="41734220">
                  <wp:extent cx="1030014" cy="866775"/>
                  <wp:effectExtent l="0" t="0" r="0" b="0"/>
                  <wp:docPr id="15" name="Picture 15"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616" w:type="dxa"/>
            <w:gridSpan w:val="3"/>
            <w:tcBorders>
              <w:top w:val="single" w:sz="12" w:space="0" w:color="auto"/>
              <w:left w:val="single" w:sz="12" w:space="0" w:color="auto"/>
              <w:bottom w:val="single" w:sz="12" w:space="0" w:color="auto"/>
              <w:right w:val="single" w:sz="12" w:space="0" w:color="auto"/>
            </w:tcBorders>
            <w:vAlign w:val="center"/>
          </w:tcPr>
          <w:p w14:paraId="03F15E1D" w14:textId="44B342E8" w:rsidR="003F5398" w:rsidRPr="00434734" w:rsidRDefault="006B56F8" w:rsidP="008B782E">
            <w:pPr>
              <w:spacing w:after="0"/>
              <w:jc w:val="center"/>
              <w:rPr>
                <w:rFonts w:ascii="Georgia" w:hAnsi="Georgia" w:cs="Arial"/>
                <w:color w:val="auto"/>
                <w:sz w:val="40"/>
                <w:szCs w:val="40"/>
              </w:rPr>
            </w:pPr>
            <w:r w:rsidRPr="00434734">
              <w:rPr>
                <w:rFonts w:ascii="Georgia" w:hAnsi="Georgia" w:cs="Arial"/>
                <w:i/>
                <w:color w:val="auto"/>
                <w:sz w:val="40"/>
                <w:szCs w:val="40"/>
              </w:rPr>
              <w:t xml:space="preserve">Ever the Land </w:t>
            </w:r>
            <w:r w:rsidRPr="00434734">
              <w:rPr>
                <w:rFonts w:ascii="Georgia" w:hAnsi="Georgia" w:cs="Arial"/>
                <w:color w:val="auto"/>
                <w:sz w:val="40"/>
                <w:szCs w:val="40"/>
              </w:rPr>
              <w:t>Living Building Documentary</w:t>
            </w:r>
            <w:r w:rsidR="008B782E">
              <w:rPr>
                <w:rFonts w:ascii="Georgia" w:hAnsi="Georgia" w:cs="Arial"/>
                <w:color w:val="auto"/>
                <w:sz w:val="40"/>
                <w:szCs w:val="40"/>
              </w:rPr>
              <w:t>: A Guided</w:t>
            </w:r>
            <w:r w:rsidR="003F5398" w:rsidRPr="00434734">
              <w:rPr>
                <w:rFonts w:ascii="Georgia" w:hAnsi="Georgia" w:cs="Arial"/>
                <w:color w:val="auto"/>
                <w:sz w:val="40"/>
                <w:szCs w:val="40"/>
              </w:rPr>
              <w:t xml:space="preserve"> </w:t>
            </w:r>
            <w:r w:rsidR="008B782E">
              <w:rPr>
                <w:rFonts w:ascii="Georgia" w:hAnsi="Georgia" w:cs="Arial"/>
                <w:color w:val="auto"/>
                <w:sz w:val="40"/>
                <w:szCs w:val="40"/>
              </w:rPr>
              <w:t>Reflection</w:t>
            </w:r>
          </w:p>
        </w:tc>
      </w:tr>
      <w:tr w:rsidR="003F5398" w:rsidRPr="00434734" w14:paraId="748069EC" w14:textId="77777777" w:rsidTr="00997E1B">
        <w:trPr>
          <w:trHeight w:val="1029"/>
        </w:trPr>
        <w:tc>
          <w:tcPr>
            <w:tcW w:w="2538" w:type="dxa"/>
            <w:tcBorders>
              <w:top w:val="single" w:sz="12" w:space="0" w:color="auto"/>
              <w:left w:val="single" w:sz="12" w:space="0" w:color="auto"/>
              <w:right w:val="single" w:sz="12" w:space="0" w:color="auto"/>
            </w:tcBorders>
            <w:vAlign w:val="center"/>
          </w:tcPr>
          <w:p w14:paraId="65E0E3E5" w14:textId="77777777" w:rsidR="003F5398" w:rsidRPr="00434734" w:rsidRDefault="003F5398" w:rsidP="00CC58D4">
            <w:pPr>
              <w:pStyle w:val="Box"/>
              <w:spacing w:after="120"/>
              <w:jc w:val="center"/>
              <w:rPr>
                <w:rFonts w:ascii="Arial" w:hAnsi="Arial" w:cs="Arial"/>
                <w:color w:val="auto"/>
                <w:sz w:val="22"/>
                <w:szCs w:val="22"/>
              </w:rPr>
            </w:pPr>
            <w:r w:rsidRPr="00434734">
              <w:rPr>
                <w:rFonts w:ascii="Georgia" w:hAnsi="Georgia" w:cs="Arial"/>
                <w:b/>
                <w:color w:val="auto"/>
                <w:sz w:val="22"/>
                <w:szCs w:val="22"/>
              </w:rPr>
              <w:t>Discipline:</w:t>
            </w:r>
            <w:r w:rsidRPr="00434734">
              <w:rPr>
                <w:rFonts w:ascii="Arial" w:hAnsi="Arial" w:cs="Arial"/>
                <w:b/>
                <w:color w:val="auto"/>
                <w:sz w:val="22"/>
                <w:szCs w:val="22"/>
              </w:rPr>
              <w:t xml:space="preserve"> </w:t>
            </w:r>
            <w:r w:rsidRPr="00434734">
              <w:rPr>
                <w:rFonts w:ascii="Arial" w:hAnsi="Arial" w:cs="Arial"/>
                <w:color w:val="auto"/>
                <w:sz w:val="22"/>
                <w:szCs w:val="22"/>
              </w:rPr>
              <w:t>All</w:t>
            </w:r>
          </w:p>
        </w:tc>
        <w:tc>
          <w:tcPr>
            <w:tcW w:w="2539" w:type="dxa"/>
            <w:tcBorders>
              <w:top w:val="single" w:sz="12" w:space="0" w:color="auto"/>
              <w:left w:val="single" w:sz="12" w:space="0" w:color="auto"/>
              <w:bottom w:val="single" w:sz="12" w:space="0" w:color="auto"/>
              <w:right w:val="single" w:sz="12" w:space="0" w:color="auto"/>
            </w:tcBorders>
            <w:vAlign w:val="center"/>
          </w:tcPr>
          <w:p w14:paraId="7F93C70B" w14:textId="725B520D" w:rsidR="003F5398" w:rsidRPr="00434734" w:rsidRDefault="003F5398" w:rsidP="00BC5ECD">
            <w:pPr>
              <w:pStyle w:val="Box"/>
              <w:spacing w:after="120"/>
              <w:jc w:val="center"/>
              <w:rPr>
                <w:rFonts w:ascii="Arial" w:hAnsi="Arial" w:cs="Arial"/>
                <w:color w:val="auto"/>
                <w:sz w:val="22"/>
                <w:szCs w:val="22"/>
              </w:rPr>
            </w:pPr>
            <w:r w:rsidRPr="00434734">
              <w:rPr>
                <w:rFonts w:ascii="Georgia" w:hAnsi="Georgia" w:cs="Arial"/>
                <w:b/>
                <w:color w:val="auto"/>
                <w:sz w:val="22"/>
                <w:szCs w:val="22"/>
              </w:rPr>
              <w:t xml:space="preserve">Type: </w:t>
            </w:r>
            <w:r w:rsidR="00BC5ECD" w:rsidRPr="00434734">
              <w:rPr>
                <w:rFonts w:ascii="Arial" w:hAnsi="Arial" w:cs="Arial"/>
                <w:color w:val="auto"/>
                <w:sz w:val="22"/>
                <w:szCs w:val="22"/>
              </w:rPr>
              <w:t xml:space="preserve"> Discussion; </w:t>
            </w:r>
            <w:r w:rsidRPr="00434734">
              <w:rPr>
                <w:rFonts w:ascii="Arial" w:hAnsi="Arial" w:cs="Arial"/>
                <w:color w:val="auto"/>
                <w:sz w:val="22"/>
                <w:szCs w:val="22"/>
              </w:rPr>
              <w:t>Take-home assignment</w:t>
            </w:r>
          </w:p>
        </w:tc>
        <w:tc>
          <w:tcPr>
            <w:tcW w:w="2378" w:type="dxa"/>
            <w:tcBorders>
              <w:top w:val="single" w:sz="12" w:space="0" w:color="auto"/>
              <w:left w:val="single" w:sz="12" w:space="0" w:color="auto"/>
              <w:bottom w:val="single" w:sz="12" w:space="0" w:color="auto"/>
              <w:right w:val="single" w:sz="12" w:space="0" w:color="auto"/>
            </w:tcBorders>
            <w:vAlign w:val="center"/>
          </w:tcPr>
          <w:p w14:paraId="6347DEB0" w14:textId="77777777" w:rsidR="003F5398" w:rsidRPr="00434734" w:rsidRDefault="003F5398" w:rsidP="00CC58D4">
            <w:pPr>
              <w:pStyle w:val="Box"/>
              <w:spacing w:after="120"/>
              <w:jc w:val="center"/>
              <w:rPr>
                <w:rFonts w:ascii="Arial" w:hAnsi="Arial" w:cs="Arial"/>
                <w:color w:val="auto"/>
                <w:sz w:val="22"/>
                <w:szCs w:val="22"/>
              </w:rPr>
            </w:pPr>
            <w:r w:rsidRPr="00434734">
              <w:rPr>
                <w:rFonts w:ascii="Georgia" w:hAnsi="Georgia" w:cs="Arial"/>
                <w:b/>
                <w:color w:val="auto"/>
                <w:sz w:val="22"/>
                <w:szCs w:val="22"/>
              </w:rPr>
              <w:t>Time Commitment:</w:t>
            </w:r>
            <w:r w:rsidRPr="00434734">
              <w:rPr>
                <w:rFonts w:ascii="Arial" w:hAnsi="Arial" w:cs="Arial"/>
                <w:b/>
                <w:color w:val="auto"/>
                <w:sz w:val="22"/>
                <w:szCs w:val="22"/>
              </w:rPr>
              <w:t xml:space="preserve"> </w:t>
            </w:r>
            <w:r w:rsidRPr="00434734">
              <w:rPr>
                <w:rFonts w:ascii="Arial" w:hAnsi="Arial" w:cs="Arial"/>
                <w:color w:val="auto"/>
                <w:sz w:val="22"/>
                <w:szCs w:val="22"/>
              </w:rPr>
              <w:t>45 minutes – 1 hour</w:t>
            </w:r>
          </w:p>
        </w:tc>
        <w:tc>
          <w:tcPr>
            <w:tcW w:w="2699" w:type="dxa"/>
            <w:tcBorders>
              <w:top w:val="single" w:sz="12" w:space="0" w:color="auto"/>
              <w:left w:val="single" w:sz="12" w:space="0" w:color="auto"/>
              <w:bottom w:val="single" w:sz="12" w:space="0" w:color="auto"/>
              <w:right w:val="single" w:sz="12" w:space="0" w:color="auto"/>
            </w:tcBorders>
            <w:vAlign w:val="center"/>
          </w:tcPr>
          <w:p w14:paraId="57370324" w14:textId="314DE70C" w:rsidR="003F5398" w:rsidRPr="00434734" w:rsidRDefault="003F5398" w:rsidP="00BC5ECD">
            <w:pPr>
              <w:spacing w:before="120" w:after="120"/>
              <w:jc w:val="center"/>
              <w:rPr>
                <w:rFonts w:ascii="Arial" w:hAnsi="Arial" w:cs="Arial"/>
                <w:color w:val="auto"/>
                <w:sz w:val="22"/>
                <w:szCs w:val="22"/>
              </w:rPr>
            </w:pPr>
            <w:r w:rsidRPr="00434734">
              <w:rPr>
                <w:rFonts w:ascii="Georgia" w:hAnsi="Georgia" w:cs="Arial"/>
                <w:b/>
                <w:color w:val="auto"/>
                <w:sz w:val="22"/>
                <w:szCs w:val="22"/>
              </w:rPr>
              <w:t>Category:</w:t>
            </w:r>
            <w:r w:rsidRPr="00434734">
              <w:rPr>
                <w:rFonts w:ascii="Arial" w:hAnsi="Arial" w:cs="Arial"/>
                <w:b/>
                <w:color w:val="auto"/>
                <w:sz w:val="22"/>
                <w:szCs w:val="22"/>
              </w:rPr>
              <w:t xml:space="preserve"> </w:t>
            </w:r>
            <w:r w:rsidR="000D2265">
              <w:rPr>
                <w:rFonts w:ascii="Arial" w:hAnsi="Arial" w:cs="Arial"/>
                <w:color w:val="auto"/>
                <w:sz w:val="22"/>
                <w:szCs w:val="22"/>
              </w:rPr>
              <w:t>Equitable Development</w:t>
            </w:r>
          </w:p>
        </w:tc>
      </w:tr>
      <w:tr w:rsidR="003F5398" w:rsidRPr="00434734" w14:paraId="42CBF245" w14:textId="77777777" w:rsidTr="003F5398">
        <w:trPr>
          <w:trHeight w:val="406"/>
        </w:trPr>
        <w:tc>
          <w:tcPr>
            <w:tcW w:w="10154" w:type="dxa"/>
            <w:gridSpan w:val="4"/>
            <w:tcBorders>
              <w:top w:val="single" w:sz="12" w:space="0" w:color="auto"/>
              <w:left w:val="single" w:sz="12" w:space="0" w:color="auto"/>
              <w:bottom w:val="single" w:sz="12" w:space="0" w:color="auto"/>
              <w:right w:val="single" w:sz="12" w:space="0" w:color="auto"/>
            </w:tcBorders>
            <w:vAlign w:val="center"/>
          </w:tcPr>
          <w:p w14:paraId="7D6C6782" w14:textId="24737C24" w:rsidR="003F5398" w:rsidRPr="00434734" w:rsidRDefault="003F5398" w:rsidP="006074FD">
            <w:pPr>
              <w:spacing w:before="120" w:after="120"/>
              <w:rPr>
                <w:rFonts w:ascii="Arial" w:hAnsi="Arial" w:cs="Arial"/>
                <w:color w:val="auto"/>
                <w:sz w:val="22"/>
                <w:szCs w:val="22"/>
              </w:rPr>
            </w:pPr>
            <w:r w:rsidRPr="00434734">
              <w:rPr>
                <w:rFonts w:ascii="Georgia" w:hAnsi="Georgia" w:cs="Arial"/>
                <w:b/>
                <w:color w:val="auto"/>
                <w:sz w:val="22"/>
                <w:szCs w:val="22"/>
              </w:rPr>
              <w:t>Big Ideas:</w:t>
            </w:r>
            <w:r w:rsidRPr="00434734">
              <w:rPr>
                <w:rFonts w:ascii="Arial" w:hAnsi="Arial" w:cs="Arial"/>
                <w:color w:val="auto"/>
                <w:sz w:val="22"/>
                <w:szCs w:val="22"/>
              </w:rPr>
              <w:t xml:space="preserve"> </w:t>
            </w:r>
            <w:hyperlink r:id="rId9" w:history="1">
              <w:r w:rsidR="006074FD" w:rsidRPr="006074FD">
                <w:rPr>
                  <w:rStyle w:val="Hyperlink"/>
                  <w:rFonts w:ascii="Arial" w:hAnsi="Arial" w:cs="Arial"/>
                  <w:sz w:val="22"/>
                  <w:szCs w:val="22"/>
                </w:rPr>
                <w:t>Understanding Local History and Context</w:t>
              </w:r>
            </w:hyperlink>
            <w:r w:rsidR="00BC5ECD" w:rsidRPr="00434734">
              <w:rPr>
                <w:rFonts w:ascii="Arial" w:hAnsi="Arial" w:cs="Arial"/>
                <w:color w:val="auto"/>
                <w:sz w:val="22"/>
                <w:szCs w:val="22"/>
              </w:rPr>
              <w:t xml:space="preserve">; </w:t>
            </w:r>
            <w:hyperlink r:id="rId10" w:history="1">
              <w:r w:rsidR="00BC5ECD" w:rsidRPr="001E7E4B">
                <w:rPr>
                  <w:rStyle w:val="Hyperlink"/>
                  <w:rFonts w:ascii="Arial" w:hAnsi="Arial" w:cs="Arial"/>
                  <w:sz w:val="22"/>
                  <w:szCs w:val="22"/>
                </w:rPr>
                <w:t>Participatory Process</w:t>
              </w:r>
              <w:r w:rsidR="001E7E4B" w:rsidRPr="001E7E4B">
                <w:rPr>
                  <w:rStyle w:val="Hyperlink"/>
                  <w:rFonts w:ascii="Arial" w:hAnsi="Arial" w:cs="Arial"/>
                  <w:sz w:val="22"/>
                  <w:szCs w:val="22"/>
                </w:rPr>
                <w:t>es and Collaborative Governance</w:t>
              </w:r>
            </w:hyperlink>
          </w:p>
        </w:tc>
      </w:tr>
      <w:tr w:rsidR="003F5398" w:rsidRPr="00434734" w14:paraId="33DE1360" w14:textId="77777777" w:rsidTr="003F5398">
        <w:trPr>
          <w:trHeight w:val="406"/>
        </w:trPr>
        <w:tc>
          <w:tcPr>
            <w:tcW w:w="10154" w:type="dxa"/>
            <w:gridSpan w:val="4"/>
            <w:tcBorders>
              <w:top w:val="single" w:sz="12" w:space="0" w:color="auto"/>
              <w:left w:val="single" w:sz="12" w:space="0" w:color="auto"/>
              <w:bottom w:val="single" w:sz="12" w:space="0" w:color="auto"/>
              <w:right w:val="single" w:sz="12" w:space="0" w:color="auto"/>
            </w:tcBorders>
          </w:tcPr>
          <w:p w14:paraId="251A0747" w14:textId="77777777" w:rsidR="003F5398" w:rsidRPr="00434734" w:rsidRDefault="003F5398" w:rsidP="00CC58D4">
            <w:pPr>
              <w:pStyle w:val="Box"/>
              <w:spacing w:after="120"/>
              <w:rPr>
                <w:rFonts w:ascii="Georgia" w:hAnsi="Georgia" w:cs="Arial"/>
                <w:b/>
                <w:color w:val="auto"/>
                <w:sz w:val="22"/>
                <w:szCs w:val="22"/>
              </w:rPr>
            </w:pPr>
            <w:r w:rsidRPr="00434734">
              <w:rPr>
                <w:rFonts w:ascii="Georgia" w:hAnsi="Georgia" w:cs="Arial"/>
                <w:b/>
                <w:color w:val="auto"/>
                <w:sz w:val="22"/>
                <w:szCs w:val="22"/>
              </w:rPr>
              <w:t>OVERVIEW:</w:t>
            </w:r>
          </w:p>
          <w:p w14:paraId="7C3895AC" w14:textId="6917565C" w:rsidR="003F5398" w:rsidRPr="00434734" w:rsidRDefault="00BC5ECD" w:rsidP="003F402C">
            <w:pPr>
              <w:pStyle w:val="Box"/>
              <w:spacing w:after="120"/>
              <w:rPr>
                <w:rFonts w:ascii="Arial" w:hAnsi="Arial" w:cs="Arial"/>
                <w:color w:val="auto"/>
                <w:sz w:val="22"/>
                <w:szCs w:val="22"/>
              </w:rPr>
            </w:pPr>
            <w:r w:rsidRPr="00434734">
              <w:rPr>
                <w:rFonts w:ascii="Arial" w:hAnsi="Arial" w:cs="Arial"/>
                <w:i/>
                <w:color w:val="auto"/>
                <w:sz w:val="22"/>
                <w:szCs w:val="22"/>
              </w:rPr>
              <w:t>Ever the Land</w:t>
            </w:r>
            <w:r w:rsidR="00153719" w:rsidRPr="00434734">
              <w:rPr>
                <w:rFonts w:ascii="Arial" w:hAnsi="Arial" w:cs="Arial"/>
                <w:color w:val="auto"/>
                <w:sz w:val="22"/>
                <w:szCs w:val="22"/>
              </w:rPr>
              <w:t xml:space="preserve"> is an internationally acclaimed documentary film about Te Kura Whare, the </w:t>
            </w:r>
            <w:r w:rsidR="0053117F" w:rsidRPr="00434734">
              <w:rPr>
                <w:rFonts w:ascii="Arial" w:hAnsi="Arial" w:cs="Arial"/>
                <w:color w:val="auto"/>
                <w:sz w:val="22"/>
                <w:szCs w:val="22"/>
              </w:rPr>
              <w:t>fully certified</w:t>
            </w:r>
            <w:r w:rsidR="00153719" w:rsidRPr="00434734">
              <w:rPr>
                <w:rFonts w:ascii="Arial" w:hAnsi="Arial" w:cs="Arial"/>
                <w:color w:val="auto"/>
                <w:sz w:val="22"/>
                <w:szCs w:val="22"/>
              </w:rPr>
              <w:t xml:space="preserve"> Living Building</w:t>
            </w:r>
            <w:r w:rsidR="00D2160F" w:rsidRPr="00434734">
              <w:rPr>
                <w:rFonts w:ascii="Arial" w:hAnsi="Arial" w:cs="Arial"/>
                <w:color w:val="auto"/>
                <w:sz w:val="22"/>
                <w:szCs w:val="22"/>
              </w:rPr>
              <w:t xml:space="preserve"> built</w:t>
            </w:r>
            <w:r w:rsidR="00337AA9" w:rsidRPr="00434734">
              <w:rPr>
                <w:rFonts w:ascii="Arial" w:hAnsi="Arial" w:cs="Arial"/>
                <w:color w:val="auto"/>
                <w:sz w:val="22"/>
                <w:szCs w:val="22"/>
              </w:rPr>
              <w:t xml:space="preserve"> by the Tū</w:t>
            </w:r>
            <w:r w:rsidR="00153719" w:rsidRPr="00434734">
              <w:rPr>
                <w:rFonts w:ascii="Arial" w:hAnsi="Arial" w:cs="Arial"/>
                <w:color w:val="auto"/>
                <w:sz w:val="22"/>
                <w:szCs w:val="22"/>
              </w:rPr>
              <w:t>hoe</w:t>
            </w:r>
            <w:r w:rsidR="009B62E2">
              <w:rPr>
                <w:rFonts w:ascii="Arial" w:hAnsi="Arial" w:cs="Arial"/>
                <w:color w:val="auto"/>
                <w:sz w:val="22"/>
                <w:szCs w:val="22"/>
              </w:rPr>
              <w:t xml:space="preserve">, </w:t>
            </w:r>
            <w:r w:rsidR="009B62E2" w:rsidRPr="00BC38E3">
              <w:rPr>
                <w:rFonts w:ascii="Arial" w:hAnsi="Arial" w:cs="Arial"/>
                <w:color w:val="auto"/>
                <w:sz w:val="22"/>
                <w:szCs w:val="22"/>
              </w:rPr>
              <w:t>a</w:t>
            </w:r>
            <w:r w:rsidR="00153719" w:rsidRPr="00BC38E3">
              <w:rPr>
                <w:rFonts w:ascii="Arial" w:hAnsi="Arial" w:cs="Arial"/>
                <w:color w:val="auto"/>
                <w:sz w:val="22"/>
                <w:szCs w:val="22"/>
              </w:rPr>
              <w:t xml:space="preserve"> </w:t>
            </w:r>
            <w:r w:rsidR="00BC38E3" w:rsidRPr="00BC38E3">
              <w:rPr>
                <w:rFonts w:ascii="Arial" w:hAnsi="Arial" w:cs="Arial"/>
                <w:color w:val="auto"/>
                <w:sz w:val="22"/>
                <w:szCs w:val="22"/>
              </w:rPr>
              <w:t>Māori</w:t>
            </w:r>
            <w:r w:rsidR="00153719" w:rsidRPr="00BC38E3">
              <w:rPr>
                <w:rFonts w:ascii="Arial" w:hAnsi="Arial" w:cs="Arial"/>
                <w:color w:val="auto"/>
                <w:sz w:val="22"/>
                <w:szCs w:val="22"/>
              </w:rPr>
              <w:t xml:space="preserve"> tribe</w:t>
            </w:r>
            <w:r w:rsidR="00210843" w:rsidRPr="00BC38E3">
              <w:rPr>
                <w:rFonts w:ascii="Arial" w:hAnsi="Arial" w:cs="Arial"/>
                <w:color w:val="auto"/>
                <w:sz w:val="22"/>
                <w:szCs w:val="22"/>
              </w:rPr>
              <w:t xml:space="preserve"> of</w:t>
            </w:r>
            <w:r w:rsidR="00153719" w:rsidRPr="00BC38E3">
              <w:rPr>
                <w:rFonts w:ascii="Arial" w:hAnsi="Arial" w:cs="Arial"/>
                <w:color w:val="auto"/>
                <w:sz w:val="22"/>
                <w:szCs w:val="22"/>
              </w:rPr>
              <w:t xml:space="preserve"> northern New Zealand</w:t>
            </w:r>
            <w:r w:rsidR="00A96543">
              <w:rPr>
                <w:rFonts w:ascii="Arial" w:hAnsi="Arial" w:cs="Arial"/>
                <w:color w:val="auto"/>
                <w:sz w:val="22"/>
                <w:szCs w:val="22"/>
              </w:rPr>
              <w:t>. The</w:t>
            </w:r>
            <w:r w:rsidR="009B62E2" w:rsidRPr="00BC38E3">
              <w:rPr>
                <w:rFonts w:ascii="Arial" w:hAnsi="Arial" w:cs="Arial"/>
                <w:color w:val="auto"/>
                <w:sz w:val="22"/>
                <w:szCs w:val="22"/>
              </w:rPr>
              <w:t xml:space="preserve"> </w:t>
            </w:r>
            <w:r w:rsidR="00A96543" w:rsidRPr="00434734">
              <w:rPr>
                <w:rFonts w:ascii="Arial" w:hAnsi="Arial" w:cs="Arial"/>
                <w:color w:val="auto"/>
                <w:sz w:val="22"/>
                <w:szCs w:val="22"/>
              </w:rPr>
              <w:t>Tūhoe</w:t>
            </w:r>
            <w:r w:rsidR="00A96543" w:rsidRPr="00BC38E3">
              <w:rPr>
                <w:rFonts w:ascii="Arial" w:hAnsi="Arial" w:cs="Arial"/>
                <w:color w:val="auto"/>
                <w:sz w:val="22"/>
                <w:szCs w:val="22"/>
              </w:rPr>
              <w:t xml:space="preserve"> </w:t>
            </w:r>
            <w:r w:rsidR="00A96543">
              <w:rPr>
                <w:rFonts w:ascii="Arial" w:hAnsi="Arial" w:cs="Arial"/>
                <w:color w:val="auto"/>
                <w:sz w:val="22"/>
                <w:szCs w:val="22"/>
              </w:rPr>
              <w:t xml:space="preserve">built </w:t>
            </w:r>
            <w:bookmarkStart w:id="0" w:name="_GoBack"/>
            <w:bookmarkEnd w:id="0"/>
            <w:r w:rsidR="00A96543" w:rsidRPr="00434734">
              <w:rPr>
                <w:rFonts w:ascii="Arial" w:hAnsi="Arial" w:cs="Arial"/>
                <w:color w:val="auto"/>
                <w:sz w:val="22"/>
                <w:szCs w:val="22"/>
              </w:rPr>
              <w:t>Te Kura Whare</w:t>
            </w:r>
            <w:r w:rsidR="00A96543" w:rsidRPr="00BC38E3">
              <w:rPr>
                <w:rFonts w:ascii="Arial" w:hAnsi="Arial" w:cs="Arial"/>
                <w:color w:val="auto"/>
                <w:sz w:val="22"/>
                <w:szCs w:val="22"/>
              </w:rPr>
              <w:t xml:space="preserve"> </w:t>
            </w:r>
            <w:r w:rsidR="00210843" w:rsidRPr="00BC38E3">
              <w:rPr>
                <w:rFonts w:ascii="Arial" w:hAnsi="Arial" w:cs="Arial"/>
                <w:color w:val="auto"/>
                <w:sz w:val="22"/>
                <w:szCs w:val="22"/>
              </w:rPr>
              <w:t>as a public community center and tribal heritage archive.</w:t>
            </w:r>
            <w:r w:rsidR="00BD5483" w:rsidRPr="00BC38E3">
              <w:rPr>
                <w:rFonts w:ascii="Arial" w:hAnsi="Arial" w:cs="Arial"/>
                <w:color w:val="auto"/>
                <w:sz w:val="22"/>
                <w:szCs w:val="22"/>
              </w:rPr>
              <w:t xml:space="preserve"> </w:t>
            </w:r>
            <w:r w:rsidR="00D1516D" w:rsidRPr="00BC38E3">
              <w:rPr>
                <w:rFonts w:ascii="Arial" w:hAnsi="Arial" w:cs="Arial"/>
                <w:color w:val="auto"/>
                <w:sz w:val="22"/>
                <w:szCs w:val="22"/>
              </w:rPr>
              <w:t>This tool introd</w:t>
            </w:r>
            <w:r w:rsidR="00D1516D">
              <w:rPr>
                <w:rFonts w:ascii="Arial" w:hAnsi="Arial" w:cs="Arial"/>
                <w:color w:val="auto"/>
                <w:sz w:val="22"/>
                <w:szCs w:val="22"/>
              </w:rPr>
              <w:t>uces context about</w:t>
            </w:r>
            <w:r w:rsidR="00210843" w:rsidRPr="00434734">
              <w:rPr>
                <w:rFonts w:ascii="Arial" w:hAnsi="Arial" w:cs="Arial"/>
                <w:color w:val="auto"/>
                <w:sz w:val="22"/>
                <w:szCs w:val="22"/>
              </w:rPr>
              <w:t xml:space="preserve"> the Tūho</w:t>
            </w:r>
            <w:r w:rsidR="00D2160F" w:rsidRPr="00434734">
              <w:rPr>
                <w:rFonts w:ascii="Arial" w:hAnsi="Arial" w:cs="Arial"/>
                <w:color w:val="auto"/>
                <w:sz w:val="22"/>
                <w:szCs w:val="22"/>
              </w:rPr>
              <w:t>e</w:t>
            </w:r>
            <w:r w:rsidR="00CD249E" w:rsidRPr="00434734">
              <w:rPr>
                <w:rFonts w:ascii="Arial" w:hAnsi="Arial" w:cs="Arial"/>
                <w:color w:val="auto"/>
                <w:sz w:val="22"/>
                <w:szCs w:val="22"/>
              </w:rPr>
              <w:t xml:space="preserve"> and</w:t>
            </w:r>
            <w:r w:rsidR="00D1516D">
              <w:rPr>
                <w:rFonts w:ascii="Arial" w:hAnsi="Arial" w:cs="Arial"/>
                <w:color w:val="auto"/>
                <w:sz w:val="22"/>
                <w:szCs w:val="22"/>
              </w:rPr>
              <w:t xml:space="preserve"> the 2014 </w:t>
            </w:r>
            <w:r w:rsidR="009619E8">
              <w:rPr>
                <w:rFonts w:ascii="Arial" w:hAnsi="Arial" w:cs="Arial"/>
                <w:color w:val="auto"/>
                <w:sz w:val="22"/>
                <w:szCs w:val="22"/>
              </w:rPr>
              <w:t>T</w:t>
            </w:r>
            <w:r w:rsidR="009619E8" w:rsidRPr="00434734">
              <w:rPr>
                <w:rFonts w:ascii="Arial" w:hAnsi="Arial" w:cs="Arial"/>
                <w:color w:val="auto"/>
                <w:sz w:val="22"/>
                <w:szCs w:val="22"/>
              </w:rPr>
              <w:t>ū</w:t>
            </w:r>
            <w:r w:rsidR="00D1516D">
              <w:rPr>
                <w:rFonts w:ascii="Arial" w:hAnsi="Arial" w:cs="Arial"/>
                <w:color w:val="auto"/>
                <w:sz w:val="22"/>
                <w:szCs w:val="22"/>
              </w:rPr>
              <w:t>hoe-Crown Settlement that is necessary for understanding the film as well as</w:t>
            </w:r>
            <w:r w:rsidR="00210843" w:rsidRPr="00434734">
              <w:rPr>
                <w:rFonts w:ascii="Arial" w:hAnsi="Arial" w:cs="Arial"/>
                <w:color w:val="auto"/>
                <w:sz w:val="22"/>
                <w:szCs w:val="22"/>
              </w:rPr>
              <w:t xml:space="preserve"> the historical and cultural significance </w:t>
            </w:r>
            <w:r w:rsidR="00D2160F" w:rsidRPr="00434734">
              <w:rPr>
                <w:rFonts w:ascii="Arial" w:hAnsi="Arial" w:cs="Arial"/>
                <w:color w:val="auto"/>
                <w:sz w:val="22"/>
                <w:szCs w:val="22"/>
              </w:rPr>
              <w:t>of</w:t>
            </w:r>
            <w:r w:rsidR="00CD249E" w:rsidRPr="00434734">
              <w:rPr>
                <w:rFonts w:ascii="Arial" w:hAnsi="Arial" w:cs="Arial"/>
                <w:color w:val="auto"/>
                <w:sz w:val="22"/>
                <w:szCs w:val="22"/>
              </w:rPr>
              <w:t xml:space="preserve"> the</w:t>
            </w:r>
            <w:r w:rsidR="00D2160F" w:rsidRPr="00434734">
              <w:rPr>
                <w:rFonts w:ascii="Arial" w:hAnsi="Arial" w:cs="Arial"/>
                <w:color w:val="auto"/>
                <w:sz w:val="22"/>
                <w:szCs w:val="22"/>
              </w:rPr>
              <w:t xml:space="preserve"> Te Kura Whare</w:t>
            </w:r>
            <w:r w:rsidR="00CD249E" w:rsidRPr="00434734">
              <w:rPr>
                <w:rFonts w:ascii="Arial" w:hAnsi="Arial" w:cs="Arial"/>
                <w:color w:val="auto"/>
                <w:sz w:val="22"/>
                <w:szCs w:val="22"/>
              </w:rPr>
              <w:t xml:space="preserve"> (Living Building</w:t>
            </w:r>
            <w:r w:rsidR="00D1516D">
              <w:rPr>
                <w:rFonts w:ascii="Arial" w:hAnsi="Arial" w:cs="Arial"/>
                <w:color w:val="auto"/>
                <w:sz w:val="22"/>
                <w:szCs w:val="22"/>
              </w:rPr>
              <w:t>) project</w:t>
            </w:r>
            <w:r w:rsidR="00D2160F" w:rsidRPr="00434734">
              <w:rPr>
                <w:rFonts w:ascii="Arial" w:hAnsi="Arial" w:cs="Arial"/>
                <w:color w:val="auto"/>
                <w:sz w:val="22"/>
                <w:szCs w:val="22"/>
              </w:rPr>
              <w:t xml:space="preserve">. </w:t>
            </w:r>
            <w:r w:rsidR="00A96543">
              <w:rPr>
                <w:rFonts w:ascii="Arial" w:hAnsi="Arial" w:cs="Arial"/>
                <w:color w:val="auto"/>
                <w:sz w:val="22"/>
                <w:szCs w:val="22"/>
              </w:rPr>
              <w:t>A</w:t>
            </w:r>
            <w:r w:rsidR="00F829FF" w:rsidRPr="00434734">
              <w:rPr>
                <w:rFonts w:ascii="Arial" w:hAnsi="Arial" w:cs="Arial"/>
                <w:color w:val="auto"/>
                <w:sz w:val="22"/>
                <w:szCs w:val="22"/>
              </w:rPr>
              <w:t>n</w:t>
            </w:r>
            <w:r w:rsidR="00D2160F" w:rsidRPr="00434734">
              <w:rPr>
                <w:rFonts w:ascii="Arial" w:hAnsi="Arial" w:cs="Arial"/>
                <w:color w:val="auto"/>
                <w:sz w:val="22"/>
                <w:szCs w:val="22"/>
              </w:rPr>
              <w:t xml:space="preserve"> in-class</w:t>
            </w:r>
            <w:r w:rsidR="003F402C" w:rsidRPr="00434734">
              <w:rPr>
                <w:rFonts w:ascii="Arial" w:hAnsi="Arial" w:cs="Arial"/>
                <w:color w:val="auto"/>
                <w:sz w:val="22"/>
                <w:szCs w:val="22"/>
              </w:rPr>
              <w:t xml:space="preserve"> “gallery walk” discussion</w:t>
            </w:r>
            <w:r w:rsidR="00D2160F" w:rsidRPr="00434734">
              <w:rPr>
                <w:rFonts w:ascii="Arial" w:hAnsi="Arial" w:cs="Arial"/>
                <w:color w:val="auto"/>
                <w:sz w:val="22"/>
                <w:szCs w:val="22"/>
              </w:rPr>
              <w:t xml:space="preserve"> </w:t>
            </w:r>
            <w:r w:rsidR="00A96543">
              <w:rPr>
                <w:rFonts w:ascii="Arial" w:hAnsi="Arial" w:cs="Arial"/>
                <w:color w:val="auto"/>
                <w:sz w:val="22"/>
                <w:szCs w:val="22"/>
              </w:rPr>
              <w:t xml:space="preserve">will </w:t>
            </w:r>
            <w:r w:rsidR="00CD249E" w:rsidRPr="00434734">
              <w:rPr>
                <w:rFonts w:ascii="Arial" w:hAnsi="Arial" w:cs="Arial"/>
                <w:color w:val="auto"/>
                <w:sz w:val="22"/>
                <w:szCs w:val="22"/>
              </w:rPr>
              <w:t>prepar</w:t>
            </w:r>
            <w:r w:rsidR="00A96543">
              <w:rPr>
                <w:rFonts w:ascii="Arial" w:hAnsi="Arial" w:cs="Arial"/>
                <w:color w:val="auto"/>
                <w:sz w:val="22"/>
                <w:szCs w:val="22"/>
              </w:rPr>
              <w:t xml:space="preserve">e students </w:t>
            </w:r>
            <w:r w:rsidR="00CD249E" w:rsidRPr="00434734">
              <w:rPr>
                <w:rFonts w:ascii="Arial" w:hAnsi="Arial" w:cs="Arial"/>
                <w:color w:val="auto"/>
                <w:sz w:val="22"/>
                <w:szCs w:val="22"/>
              </w:rPr>
              <w:t>for a</w:t>
            </w:r>
            <w:r w:rsidR="003F402C" w:rsidRPr="00434734">
              <w:rPr>
                <w:rFonts w:ascii="Arial" w:hAnsi="Arial" w:cs="Arial"/>
                <w:color w:val="auto"/>
                <w:sz w:val="22"/>
                <w:szCs w:val="22"/>
              </w:rPr>
              <w:t xml:space="preserve"> take-home</w:t>
            </w:r>
            <w:r w:rsidR="00F829FF" w:rsidRPr="00434734">
              <w:rPr>
                <w:rFonts w:ascii="Arial" w:hAnsi="Arial" w:cs="Arial"/>
                <w:color w:val="auto"/>
                <w:sz w:val="22"/>
                <w:szCs w:val="22"/>
              </w:rPr>
              <w:t xml:space="preserve"> writing assignment that asks </w:t>
            </w:r>
            <w:r w:rsidR="00A96543">
              <w:rPr>
                <w:rFonts w:ascii="Arial" w:hAnsi="Arial" w:cs="Arial"/>
                <w:color w:val="auto"/>
                <w:sz w:val="22"/>
                <w:szCs w:val="22"/>
              </w:rPr>
              <w:t xml:space="preserve">them </w:t>
            </w:r>
            <w:r w:rsidR="00F829FF" w:rsidRPr="00434734">
              <w:rPr>
                <w:rFonts w:ascii="Arial" w:hAnsi="Arial" w:cs="Arial"/>
                <w:color w:val="auto"/>
                <w:sz w:val="22"/>
                <w:szCs w:val="22"/>
              </w:rPr>
              <w:t xml:space="preserve">to reflect on </w:t>
            </w:r>
            <w:r w:rsidR="003F402C" w:rsidRPr="00434734">
              <w:rPr>
                <w:rFonts w:ascii="Arial" w:hAnsi="Arial" w:cs="Arial"/>
                <w:color w:val="auto"/>
                <w:sz w:val="22"/>
                <w:szCs w:val="22"/>
              </w:rPr>
              <w:t xml:space="preserve">how </w:t>
            </w:r>
            <w:r w:rsidR="00717DB1">
              <w:rPr>
                <w:rFonts w:ascii="Arial" w:hAnsi="Arial" w:cs="Arial"/>
                <w:color w:val="auto"/>
                <w:sz w:val="22"/>
                <w:szCs w:val="22"/>
              </w:rPr>
              <w:t xml:space="preserve">the film defines and represents </w:t>
            </w:r>
            <w:r w:rsidR="003F402C" w:rsidRPr="00434734">
              <w:rPr>
                <w:rFonts w:ascii="Arial" w:hAnsi="Arial" w:cs="Arial"/>
                <w:color w:val="auto"/>
                <w:sz w:val="22"/>
                <w:szCs w:val="22"/>
              </w:rPr>
              <w:t>equity</w:t>
            </w:r>
            <w:r w:rsidR="00717DB1">
              <w:rPr>
                <w:rFonts w:ascii="Arial" w:hAnsi="Arial" w:cs="Arial"/>
                <w:color w:val="auto"/>
                <w:sz w:val="22"/>
                <w:szCs w:val="22"/>
              </w:rPr>
              <w:t>.</w:t>
            </w:r>
          </w:p>
          <w:p w14:paraId="21D2ED15" w14:textId="5F2F72EC" w:rsidR="003F5398" w:rsidRPr="00434734" w:rsidRDefault="003F5398" w:rsidP="003F402C">
            <w:pPr>
              <w:pStyle w:val="Box"/>
              <w:spacing w:after="120"/>
              <w:rPr>
                <w:rFonts w:ascii="Arial" w:hAnsi="Arial" w:cs="Arial"/>
                <w:b/>
                <w:color w:val="auto"/>
                <w:sz w:val="22"/>
                <w:szCs w:val="22"/>
                <w:u w:val="single"/>
              </w:rPr>
            </w:pPr>
            <w:r w:rsidRPr="00434734">
              <w:rPr>
                <w:rFonts w:ascii="Arial" w:hAnsi="Arial" w:cs="Arial"/>
                <w:color w:val="auto"/>
                <w:sz w:val="22"/>
                <w:szCs w:val="22"/>
              </w:rPr>
              <w:t xml:space="preserve">This tool was contributed by </w:t>
            </w:r>
            <w:r w:rsidR="003F402C" w:rsidRPr="00434734">
              <w:rPr>
                <w:rFonts w:ascii="Arial" w:hAnsi="Arial" w:cs="Arial"/>
                <w:color w:val="auto"/>
                <w:sz w:val="22"/>
                <w:szCs w:val="22"/>
              </w:rPr>
              <w:t>Lauren Neefe</w:t>
            </w:r>
            <w:r w:rsidRPr="00434734">
              <w:rPr>
                <w:rFonts w:ascii="Arial" w:hAnsi="Arial" w:cs="Arial"/>
                <w:color w:val="auto"/>
                <w:sz w:val="22"/>
                <w:szCs w:val="22"/>
              </w:rPr>
              <w:t>.</w:t>
            </w:r>
          </w:p>
        </w:tc>
      </w:tr>
      <w:tr w:rsidR="003F5398" w:rsidRPr="00434734" w14:paraId="5A56F676" w14:textId="77777777" w:rsidTr="00717DB1">
        <w:trPr>
          <w:trHeight w:val="897"/>
        </w:trPr>
        <w:tc>
          <w:tcPr>
            <w:tcW w:w="10154" w:type="dxa"/>
            <w:gridSpan w:val="4"/>
            <w:tcBorders>
              <w:top w:val="single" w:sz="12" w:space="0" w:color="auto"/>
              <w:left w:val="single" w:sz="12" w:space="0" w:color="auto"/>
              <w:bottom w:val="single" w:sz="12" w:space="0" w:color="auto"/>
              <w:right w:val="single" w:sz="12" w:space="0" w:color="auto"/>
            </w:tcBorders>
          </w:tcPr>
          <w:p w14:paraId="699A0E0F" w14:textId="05AEAE23" w:rsidR="003F5398" w:rsidRPr="00434734" w:rsidRDefault="003F5398" w:rsidP="00CC58D4">
            <w:pPr>
              <w:pStyle w:val="Box"/>
              <w:spacing w:after="120"/>
              <w:rPr>
                <w:rFonts w:ascii="Vitesse Medium" w:hAnsi="Vitesse Medium" w:cs="Arial"/>
                <w:b/>
                <w:color w:val="auto"/>
                <w:sz w:val="22"/>
                <w:szCs w:val="22"/>
              </w:rPr>
            </w:pPr>
            <w:r w:rsidRPr="00434734">
              <w:rPr>
                <w:rFonts w:ascii="Georgia" w:hAnsi="Georgia" w:cs="Arial"/>
                <w:b/>
                <w:color w:val="auto"/>
                <w:sz w:val="22"/>
                <w:szCs w:val="22"/>
              </w:rPr>
              <w:t xml:space="preserve">INSTRUCTIONS: </w:t>
            </w:r>
          </w:p>
          <w:p w14:paraId="1CC55B94" w14:textId="2B2A3C52" w:rsidR="00210843" w:rsidRPr="00434734" w:rsidRDefault="00717DB1" w:rsidP="00717DB1">
            <w:pPr>
              <w:pStyle w:val="Box"/>
              <w:spacing w:before="0" w:after="120"/>
              <w:rPr>
                <w:rFonts w:ascii="Arial" w:hAnsi="Arial" w:cs="Arial"/>
                <w:color w:val="auto"/>
                <w:sz w:val="22"/>
                <w:szCs w:val="22"/>
              </w:rPr>
            </w:pPr>
            <w:r>
              <w:rPr>
                <w:rFonts w:ascii="Arial" w:hAnsi="Arial" w:cs="Arial"/>
                <w:color w:val="auto"/>
                <w:sz w:val="22"/>
                <w:szCs w:val="22"/>
              </w:rPr>
              <w:t>This tool inc</w:t>
            </w:r>
            <w:r w:rsidR="00377B69">
              <w:rPr>
                <w:rFonts w:ascii="Arial" w:hAnsi="Arial" w:cs="Arial"/>
                <w:color w:val="auto"/>
                <w:sz w:val="22"/>
                <w:szCs w:val="22"/>
              </w:rPr>
              <w:t xml:space="preserve">ludes a pre-class reading, film </w:t>
            </w:r>
            <w:r>
              <w:rPr>
                <w:rFonts w:ascii="Arial" w:hAnsi="Arial" w:cs="Arial"/>
                <w:color w:val="auto"/>
                <w:sz w:val="22"/>
                <w:szCs w:val="22"/>
              </w:rPr>
              <w:t>viewing and writing assignment, followed by an in-class activity and a take-home writing assignment. See below for detailed instructions</w:t>
            </w:r>
            <w:r w:rsidR="00A76F07">
              <w:rPr>
                <w:rFonts w:ascii="Arial" w:hAnsi="Arial" w:cs="Arial"/>
                <w:color w:val="auto"/>
                <w:sz w:val="22"/>
                <w:szCs w:val="22"/>
              </w:rPr>
              <w:t>.</w:t>
            </w:r>
          </w:p>
        </w:tc>
      </w:tr>
      <w:tr w:rsidR="003F5398" w:rsidRPr="00434734" w14:paraId="78DD36F0" w14:textId="77777777" w:rsidTr="003F5398">
        <w:trPr>
          <w:trHeight w:val="2457"/>
        </w:trPr>
        <w:tc>
          <w:tcPr>
            <w:tcW w:w="10154" w:type="dxa"/>
            <w:gridSpan w:val="4"/>
            <w:tcBorders>
              <w:top w:val="single" w:sz="12" w:space="0" w:color="auto"/>
              <w:left w:val="single" w:sz="12" w:space="0" w:color="auto"/>
              <w:bottom w:val="single" w:sz="12" w:space="0" w:color="auto"/>
              <w:right w:val="single" w:sz="12" w:space="0" w:color="auto"/>
            </w:tcBorders>
          </w:tcPr>
          <w:p w14:paraId="5539E176" w14:textId="77777777" w:rsidR="003F5398" w:rsidRPr="00434734" w:rsidRDefault="003F5398" w:rsidP="00CC58D4">
            <w:pPr>
              <w:pStyle w:val="Box"/>
              <w:spacing w:after="120"/>
              <w:rPr>
                <w:rFonts w:ascii="Arial" w:hAnsi="Arial" w:cs="Arial"/>
                <w:color w:val="auto"/>
                <w:sz w:val="22"/>
                <w:szCs w:val="22"/>
              </w:rPr>
            </w:pPr>
            <w:r w:rsidRPr="00434734">
              <w:rPr>
                <w:rFonts w:ascii="Georgia" w:hAnsi="Georgia" w:cs="Arial"/>
                <w:b/>
                <w:color w:val="auto"/>
                <w:sz w:val="22"/>
                <w:szCs w:val="22"/>
              </w:rPr>
              <w:t>SLS STUDENT LEARNING OUTCOMES &amp; ASSESSMENT:</w:t>
            </w:r>
          </w:p>
          <w:p w14:paraId="288B487B" w14:textId="77777777" w:rsidR="003F5398" w:rsidRPr="00434734" w:rsidRDefault="003F5398" w:rsidP="00CC58D4">
            <w:pPr>
              <w:pStyle w:val="Box"/>
              <w:spacing w:after="120"/>
              <w:rPr>
                <w:rFonts w:ascii="Arial" w:hAnsi="Arial" w:cs="Arial"/>
                <w:color w:val="auto"/>
                <w:sz w:val="22"/>
                <w:szCs w:val="22"/>
              </w:rPr>
            </w:pPr>
            <w:r w:rsidRPr="00434734">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Assessment Tools at </w:t>
            </w:r>
            <w:hyperlink r:id="rId11" w:history="1">
              <w:r w:rsidRPr="00434734">
                <w:rPr>
                  <w:rFonts w:ascii="Arial" w:hAnsi="Arial" w:cs="Arial"/>
                  <w:color w:val="auto"/>
                  <w:sz w:val="22"/>
                  <w:szCs w:val="22"/>
                </w:rPr>
                <w:t>http://serve-learn-sustain.gatech.edu/tool-category/assessment</w:t>
              </w:r>
            </w:hyperlink>
            <w:r w:rsidRPr="00434734">
              <w:rPr>
                <w:rFonts w:ascii="Arial" w:hAnsi="Arial" w:cs="Arial"/>
                <w:color w:val="auto"/>
                <w:sz w:val="22"/>
                <w:szCs w:val="22"/>
              </w:rPr>
              <w:t xml:space="preserve">.  </w:t>
            </w:r>
          </w:p>
          <w:p w14:paraId="02685DA5" w14:textId="28B8DBF5" w:rsidR="003F5398" w:rsidRPr="00434734" w:rsidRDefault="003F5398" w:rsidP="00337AA9">
            <w:pPr>
              <w:pStyle w:val="Box"/>
              <w:spacing w:after="120"/>
              <w:rPr>
                <w:rFonts w:ascii="Arial" w:hAnsi="Arial" w:cs="Arial"/>
                <w:b/>
                <w:color w:val="auto"/>
                <w:sz w:val="22"/>
                <w:szCs w:val="22"/>
                <w:u w:val="single"/>
              </w:rPr>
            </w:pPr>
            <w:r w:rsidRPr="00434734">
              <w:rPr>
                <w:rFonts w:ascii="Arial" w:hAnsi="Arial" w:cs="Arial"/>
                <w:b/>
                <w:color w:val="auto"/>
                <w:sz w:val="22"/>
                <w:szCs w:val="22"/>
              </w:rPr>
              <w:t>This tool achieves SLO</w:t>
            </w:r>
            <w:r w:rsidR="00337AA9" w:rsidRPr="00434734">
              <w:rPr>
                <w:rFonts w:ascii="Arial" w:hAnsi="Arial" w:cs="Arial"/>
                <w:b/>
                <w:color w:val="auto"/>
                <w:sz w:val="22"/>
                <w:szCs w:val="22"/>
              </w:rPr>
              <w:t>s</w:t>
            </w:r>
            <w:r w:rsidRPr="00434734">
              <w:rPr>
                <w:rFonts w:ascii="Arial" w:hAnsi="Arial" w:cs="Arial"/>
                <w:b/>
                <w:color w:val="auto"/>
                <w:sz w:val="22"/>
                <w:szCs w:val="22"/>
              </w:rPr>
              <w:t xml:space="preserve"> 1</w:t>
            </w:r>
            <w:r w:rsidR="00337AA9" w:rsidRPr="00434734">
              <w:rPr>
                <w:rFonts w:ascii="Arial" w:hAnsi="Arial" w:cs="Arial"/>
                <w:b/>
                <w:color w:val="auto"/>
                <w:sz w:val="22"/>
                <w:szCs w:val="22"/>
              </w:rPr>
              <w:t xml:space="preserve"> and 3</w:t>
            </w:r>
            <w:r w:rsidRPr="00434734">
              <w:rPr>
                <w:rFonts w:ascii="Arial" w:hAnsi="Arial" w:cs="Arial"/>
                <w:b/>
                <w:color w:val="auto"/>
                <w:sz w:val="22"/>
                <w:szCs w:val="22"/>
              </w:rPr>
              <w:t>. See the end of this tool for further details.</w:t>
            </w:r>
          </w:p>
        </w:tc>
      </w:tr>
    </w:tbl>
    <w:p w14:paraId="4C041510" w14:textId="2CD3DE7A" w:rsidR="00A5622A" w:rsidRPr="00434734" w:rsidRDefault="003F5398" w:rsidP="00A5622A">
      <w:pPr>
        <w:rPr>
          <w:rFonts w:ascii="Cambria" w:hAnsi="Cambria"/>
          <w:color w:val="auto"/>
          <w:sz w:val="24"/>
        </w:rPr>
        <w:sectPr w:rsidR="00A5622A" w:rsidRPr="00434734" w:rsidSect="00CF3821">
          <w:headerReference w:type="even" r:id="rId12"/>
          <w:headerReference w:type="default" r:id="rId13"/>
          <w:footerReference w:type="even" r:id="rId14"/>
          <w:footerReference w:type="default" r:id="rId15"/>
          <w:footerReference w:type="first" r:id="rId16"/>
          <w:pgSz w:w="12240" w:h="15840"/>
          <w:pgMar w:top="1080" w:right="1080" w:bottom="1080" w:left="1080" w:header="720" w:footer="288" w:gutter="0"/>
          <w:cols w:space="720"/>
          <w:titlePg/>
          <w:docGrid w:linePitch="360"/>
        </w:sectPr>
      </w:pPr>
      <w:r w:rsidRPr="00434734">
        <w:rPr>
          <w:rFonts w:ascii="Arial" w:hAnsi="Arial" w:cs="Arial"/>
          <w:noProof/>
          <w:color w:val="auto"/>
          <w:sz w:val="20"/>
          <w:szCs w:val="20"/>
        </w:rPr>
        <mc:AlternateContent>
          <mc:Choice Requires="wpg">
            <w:drawing>
              <wp:anchor distT="0" distB="0" distL="114300" distR="114300" simplePos="0" relativeHeight="251670528" behindDoc="0" locked="0" layoutInCell="1" allowOverlap="1" wp14:anchorId="4AB2B322" wp14:editId="0409DE86">
                <wp:simplePos x="0" y="0"/>
                <wp:positionH relativeFrom="margin">
                  <wp:posOffset>0</wp:posOffset>
                </wp:positionH>
                <wp:positionV relativeFrom="paragraph">
                  <wp:posOffset>6727190</wp:posOffset>
                </wp:positionV>
                <wp:extent cx="4429125" cy="762000"/>
                <wp:effectExtent l="57150" t="19050" r="9525" b="19050"/>
                <wp:wrapSquare wrapText="bothSides"/>
                <wp:docPr id="8" name="Group 8"/>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11" name="Arrow: Chevron 11"/>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333394" y="200025"/>
                            <a:ext cx="1276350" cy="333375"/>
                          </a:xfrm>
                          <a:prstGeom prst="rect">
                            <a:avLst/>
                          </a:prstGeom>
                          <a:noFill/>
                          <a:ln w="6350">
                            <a:noFill/>
                          </a:ln>
                        </wps:spPr>
                        <wps:txbx>
                          <w:txbxContent>
                            <w:p w14:paraId="0C01ABD0" w14:textId="77777777" w:rsidR="00377B69" w:rsidRPr="00791244" w:rsidRDefault="00377B69" w:rsidP="003F5398">
                              <w:pPr>
                                <w:rPr>
                                  <w:rFonts w:ascii="Georgia" w:hAnsi="Georgia"/>
                                  <w:b/>
                                  <w:sz w:val="30"/>
                                  <w:szCs w:val="30"/>
                                </w:rPr>
                              </w:pPr>
                              <w:r w:rsidRPr="003F5398">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494379" y="67782"/>
                            <a:ext cx="1881813" cy="624442"/>
                          </a:xfrm>
                          <a:prstGeom prst="rect">
                            <a:avLst/>
                          </a:prstGeom>
                          <a:solidFill>
                            <a:schemeClr val="lt1"/>
                          </a:solidFill>
                          <a:ln w="6350">
                            <a:noFill/>
                          </a:ln>
                        </wps:spPr>
                        <wps:txbx>
                          <w:txbxContent>
                            <w:p w14:paraId="6523596B" w14:textId="77777777" w:rsidR="00377B69" w:rsidRPr="003F5398" w:rsidRDefault="00377B69" w:rsidP="003F5398">
                              <w:pPr>
                                <w:rPr>
                                  <w:rFonts w:ascii="Arial" w:hAnsi="Arial" w:cs="Arial"/>
                                  <w:color w:val="auto"/>
                                  <w:sz w:val="22"/>
                                  <w:szCs w:val="22"/>
                                </w:rPr>
                              </w:pPr>
                              <w:r w:rsidRPr="003F5398">
                                <w:rPr>
                                  <w:rFonts w:ascii="Arial" w:hAnsi="Arial" w:cs="Arial"/>
                                  <w:color w:val="auto"/>
                                  <w:sz w:val="22"/>
                                  <w:szCs w:val="22"/>
                                </w:rPr>
                                <w:t xml:space="preserve">Jennifer Hirsch is the contact for this tool. You can reach her at </w:t>
                              </w:r>
                              <w:hyperlink r:id="rId17" w:history="1">
                                <w:r w:rsidRPr="003F5398">
                                  <w:rPr>
                                    <w:rStyle w:val="Hyperlink"/>
                                    <w:rFonts w:ascii="Arial" w:hAnsi="Arial" w:cs="Arial"/>
                                    <w:sz w:val="22"/>
                                    <w:szCs w:val="22"/>
                                  </w:rPr>
                                  <w:t>jennifer.hirsch@gatech.edu</w:t>
                                </w:r>
                              </w:hyperlink>
                              <w:r w:rsidRPr="003F5398">
                                <w:rPr>
                                  <w:rFonts w:ascii="Arial" w:hAnsi="Arial" w:cs="Arial"/>
                                  <w:color w:val="auto"/>
                                  <w:sz w:val="22"/>
                                  <w:szCs w:val="22"/>
                                </w:rPr>
                                <w:t xml:space="preserve"> </w:t>
                              </w:r>
                            </w:p>
                            <w:p w14:paraId="392288C4" w14:textId="2B974448" w:rsidR="00377B69" w:rsidRPr="003066BD" w:rsidRDefault="00377B69" w:rsidP="003F539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B2B322" id="Group 8" o:spid="_x0000_s1026" style="position:absolute;margin-left:0;margin-top:529.7pt;width:348.75pt;height:60pt;z-index:251670528;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1"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" adj="19362" filled="f" strokecolor="#ffc000" strokeweight="2.25pt"/>
                <v:shapetype id="_x0000_t202" coordsize="21600,21600" o:spt="202" path="m,l,21600r21600,l21600,xe">
                  <v:stroke joinstyle="miter"/>
                  <v:path gradientshapeok="t" o:connecttype="rect"/>
                </v:shapetype>
                <v:shape id="Text Box 12"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0C01ABD0" w14:textId="77777777" w:rsidR="00377B69" w:rsidRPr="00791244" w:rsidRDefault="00377B69" w:rsidP="003F5398">
                        <w:pPr>
                          <w:rPr>
                            <w:rFonts w:ascii="Georgia" w:hAnsi="Georgia"/>
                            <w:b/>
                            <w:sz w:val="30"/>
                            <w:szCs w:val="30"/>
                          </w:rPr>
                        </w:pPr>
                        <w:r w:rsidRPr="003F5398">
                          <w:rPr>
                            <w:rFonts w:ascii="Georgia" w:hAnsi="Georgia"/>
                            <w:b/>
                            <w:color w:val="auto"/>
                            <w:sz w:val="32"/>
                            <w:szCs w:val="30"/>
                          </w:rPr>
                          <w:t xml:space="preserve">Want Help? </w:t>
                        </w:r>
                        <w:r w:rsidRPr="00791244">
                          <w:rPr>
                            <w:rFonts w:ascii="Georgia" w:hAnsi="Georgia"/>
                            <w:b/>
                            <w:sz w:val="30"/>
                            <w:szCs w:val="30"/>
                          </w:rPr>
                          <w:br/>
                        </w:r>
                      </w:p>
                    </w:txbxContent>
                  </v:textbox>
                </v:shape>
                <v:shape id="Text Box 13"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6523596B" w14:textId="77777777" w:rsidR="00377B69" w:rsidRPr="003F5398" w:rsidRDefault="00377B69" w:rsidP="003F5398">
                        <w:pPr>
                          <w:rPr>
                            <w:rFonts w:ascii="Arial" w:hAnsi="Arial" w:cs="Arial"/>
                            <w:color w:val="auto"/>
                            <w:sz w:val="22"/>
                            <w:szCs w:val="22"/>
                          </w:rPr>
                        </w:pPr>
                        <w:r w:rsidRPr="003F5398">
                          <w:rPr>
                            <w:rFonts w:ascii="Arial" w:hAnsi="Arial" w:cs="Arial"/>
                            <w:color w:val="auto"/>
                            <w:sz w:val="22"/>
                            <w:szCs w:val="22"/>
                          </w:rPr>
                          <w:t xml:space="preserve">Jennifer Hirsch is the contact for this tool. You can reach her at </w:t>
                        </w:r>
                        <w:hyperlink r:id="rId18" w:history="1">
                          <w:r w:rsidRPr="003F5398">
                            <w:rPr>
                              <w:rStyle w:val="Hyperlink"/>
                              <w:rFonts w:ascii="Arial" w:hAnsi="Arial" w:cs="Arial"/>
                              <w:sz w:val="22"/>
                              <w:szCs w:val="22"/>
                            </w:rPr>
                            <w:t>jennifer.hirsch@gatech.edu</w:t>
                          </w:r>
                        </w:hyperlink>
                        <w:r w:rsidRPr="003F5398">
                          <w:rPr>
                            <w:rFonts w:ascii="Arial" w:hAnsi="Arial" w:cs="Arial"/>
                            <w:color w:val="auto"/>
                            <w:sz w:val="22"/>
                            <w:szCs w:val="22"/>
                          </w:rPr>
                          <w:t xml:space="preserve"> </w:t>
                        </w:r>
                      </w:p>
                      <w:p w14:paraId="392288C4" w14:textId="2B974448" w:rsidR="00377B69" w:rsidRPr="003066BD" w:rsidRDefault="00377B69" w:rsidP="003F5398">
                        <w:pPr>
                          <w:rPr>
                            <w:rFonts w:ascii="Arial" w:hAnsi="Arial" w:cs="Arial"/>
                          </w:rPr>
                        </w:pPr>
                      </w:p>
                    </w:txbxContent>
                  </v:textbox>
                </v:shape>
                <w10:wrap type="square" anchorx="margin"/>
              </v:group>
            </w:pict>
          </mc:Fallback>
        </mc:AlternateContent>
      </w:r>
    </w:p>
    <w:p w14:paraId="53A8DB8E" w14:textId="18E4F989" w:rsidR="00777E22" w:rsidRPr="00434734" w:rsidRDefault="00717DB1" w:rsidP="004C428C">
      <w:pPr>
        <w:pBdr>
          <w:bottom w:val="single" w:sz="4" w:space="1" w:color="auto"/>
        </w:pBdr>
        <w:spacing w:before="240" w:after="240" w:line="288" w:lineRule="auto"/>
        <w:outlineLvl w:val="0"/>
        <w:rPr>
          <w:rFonts w:ascii="Georgia" w:eastAsia="Calibri" w:hAnsi="Georgia" w:cs="Times New Roman"/>
          <w:color w:val="auto"/>
          <w:sz w:val="40"/>
          <w:szCs w:val="40"/>
        </w:rPr>
      </w:pPr>
      <w:r w:rsidRPr="00434734">
        <w:rPr>
          <w:rFonts w:ascii="Georgia" w:hAnsi="Georgia" w:cs="Arial"/>
          <w:i/>
          <w:color w:val="auto"/>
          <w:sz w:val="40"/>
          <w:szCs w:val="40"/>
        </w:rPr>
        <w:lastRenderedPageBreak/>
        <w:t xml:space="preserve">Ever the Land </w:t>
      </w:r>
      <w:r w:rsidRPr="00434734">
        <w:rPr>
          <w:rFonts w:ascii="Georgia" w:hAnsi="Georgia" w:cs="Arial"/>
          <w:color w:val="auto"/>
          <w:sz w:val="40"/>
          <w:szCs w:val="40"/>
        </w:rPr>
        <w:t>Living Building Documentary</w:t>
      </w:r>
      <w:r>
        <w:rPr>
          <w:rFonts w:ascii="Georgia" w:hAnsi="Georgia" w:cs="Arial"/>
          <w:color w:val="auto"/>
          <w:sz w:val="40"/>
          <w:szCs w:val="40"/>
        </w:rPr>
        <w:t>: A Guided</w:t>
      </w:r>
      <w:r w:rsidRPr="00434734">
        <w:rPr>
          <w:rFonts w:ascii="Georgia" w:hAnsi="Georgia" w:cs="Arial"/>
          <w:color w:val="auto"/>
          <w:sz w:val="40"/>
          <w:szCs w:val="40"/>
        </w:rPr>
        <w:t xml:space="preserve"> </w:t>
      </w:r>
      <w:r>
        <w:rPr>
          <w:rFonts w:ascii="Georgia" w:hAnsi="Georgia" w:cs="Arial"/>
          <w:color w:val="auto"/>
          <w:sz w:val="40"/>
          <w:szCs w:val="40"/>
        </w:rPr>
        <w:t>Reflection</w:t>
      </w:r>
      <w:r>
        <w:rPr>
          <w:rFonts w:ascii="Georgia" w:eastAsia="Calibri" w:hAnsi="Georgia" w:cs="Times New Roman"/>
          <w:noProof/>
          <w:color w:val="auto"/>
          <w:sz w:val="40"/>
          <w:szCs w:val="40"/>
        </w:rPr>
        <w:t xml:space="preserve"> </w:t>
      </w:r>
    </w:p>
    <w:p w14:paraId="6732A0A1" w14:textId="511DF950" w:rsidR="00717DB1" w:rsidRPr="00717DB1" w:rsidRDefault="00717DB1" w:rsidP="00717DB1">
      <w:pPr>
        <w:pStyle w:val="Box"/>
        <w:spacing w:line="276" w:lineRule="auto"/>
        <w:rPr>
          <w:rFonts w:ascii="Georgia" w:hAnsi="Georgia" w:cs="Arial"/>
          <w:b/>
          <w:color w:val="auto"/>
          <w:sz w:val="32"/>
          <w:szCs w:val="32"/>
        </w:rPr>
      </w:pPr>
      <w:r w:rsidRPr="00717DB1">
        <w:rPr>
          <w:rFonts w:ascii="Georgia" w:hAnsi="Georgia" w:cs="Arial"/>
          <w:b/>
          <w:color w:val="auto"/>
          <w:sz w:val="32"/>
          <w:szCs w:val="32"/>
        </w:rPr>
        <w:t>Instructions</w:t>
      </w:r>
    </w:p>
    <w:p w14:paraId="33BF9663" w14:textId="025B9C83" w:rsidR="00377B69" w:rsidRPr="00377B69" w:rsidRDefault="00377B69" w:rsidP="00717DB1">
      <w:pPr>
        <w:pStyle w:val="Box"/>
        <w:numPr>
          <w:ilvl w:val="0"/>
          <w:numId w:val="35"/>
        </w:numPr>
        <w:spacing w:line="276" w:lineRule="auto"/>
        <w:rPr>
          <w:rFonts w:ascii="Arial" w:hAnsi="Arial" w:cs="Arial"/>
          <w:i/>
          <w:color w:val="auto"/>
          <w:sz w:val="24"/>
        </w:rPr>
      </w:pPr>
      <w:r>
        <w:rPr>
          <w:rFonts w:ascii="Arial" w:hAnsi="Arial" w:cs="Arial"/>
          <w:color w:val="auto"/>
          <w:sz w:val="24"/>
        </w:rPr>
        <w:t xml:space="preserve">Read the </w:t>
      </w:r>
      <w:r w:rsidR="00A76F07">
        <w:rPr>
          <w:rFonts w:ascii="Arial" w:hAnsi="Arial" w:cs="Arial"/>
          <w:color w:val="auto"/>
          <w:sz w:val="24"/>
        </w:rPr>
        <w:t>Overview about T</w:t>
      </w:r>
      <w:r w:rsidR="00526B5B">
        <w:rPr>
          <w:rFonts w:ascii="Arial" w:hAnsi="Arial" w:cs="Arial"/>
          <w:color w:val="auto"/>
          <w:sz w:val="24"/>
        </w:rPr>
        <w:t>e Kura Whare (below). You may distribute it to your students to read in advance of screening the film as well, but the rest of the tool assumes you will let the students struggle with what the film does not explain.</w:t>
      </w:r>
    </w:p>
    <w:p w14:paraId="0FE19FE2" w14:textId="49F65497" w:rsidR="00717DB1" w:rsidRPr="00717DB1" w:rsidRDefault="00717DB1" w:rsidP="00717DB1">
      <w:pPr>
        <w:pStyle w:val="Box"/>
        <w:numPr>
          <w:ilvl w:val="0"/>
          <w:numId w:val="35"/>
        </w:numPr>
        <w:spacing w:line="276" w:lineRule="auto"/>
        <w:rPr>
          <w:rFonts w:ascii="Arial" w:hAnsi="Arial" w:cs="Arial"/>
          <w:i/>
          <w:color w:val="auto"/>
          <w:sz w:val="24"/>
        </w:rPr>
      </w:pPr>
      <w:r w:rsidRPr="00717DB1">
        <w:rPr>
          <w:rFonts w:ascii="Arial" w:hAnsi="Arial" w:cs="Arial"/>
          <w:color w:val="auto"/>
          <w:sz w:val="24"/>
        </w:rPr>
        <w:t xml:space="preserve">Ask students to read the </w:t>
      </w:r>
      <w:hyperlink r:id="rId19" w:history="1">
        <w:r w:rsidRPr="00081FA6">
          <w:rPr>
            <w:rStyle w:val="Hyperlink"/>
            <w:rFonts w:ascii="Arial" w:hAnsi="Arial" w:cs="Arial"/>
            <w:sz w:val="24"/>
          </w:rPr>
          <w:t>Living Building Challenge Equity Petal</w:t>
        </w:r>
      </w:hyperlink>
      <w:r w:rsidRPr="00717DB1">
        <w:rPr>
          <w:rFonts w:ascii="Arial" w:hAnsi="Arial" w:cs="Arial"/>
          <w:color w:val="auto"/>
          <w:sz w:val="24"/>
        </w:rPr>
        <w:t xml:space="preserve"> and watch </w:t>
      </w:r>
      <w:r w:rsidRPr="00717DB1">
        <w:rPr>
          <w:rFonts w:ascii="Arial" w:hAnsi="Arial" w:cs="Arial"/>
          <w:i/>
          <w:color w:val="auto"/>
          <w:sz w:val="24"/>
        </w:rPr>
        <w:t>Ever the Land</w:t>
      </w:r>
      <w:r w:rsidRPr="00717DB1">
        <w:rPr>
          <w:rFonts w:ascii="Arial" w:hAnsi="Arial" w:cs="Arial"/>
          <w:color w:val="auto"/>
          <w:sz w:val="24"/>
        </w:rPr>
        <w:t xml:space="preserve"> (90 min.), freely available through the Georgia Tech Library’s </w:t>
      </w:r>
      <w:hyperlink r:id="rId20" w:history="1">
        <w:r w:rsidRPr="00717DB1">
          <w:rPr>
            <w:rFonts w:ascii="Arial" w:hAnsi="Arial" w:cs="Arial"/>
            <w:color w:val="4472C4" w:themeColor="accent1"/>
            <w:sz w:val="24"/>
          </w:rPr>
          <w:t>Kanopy</w:t>
        </w:r>
      </w:hyperlink>
      <w:r w:rsidRPr="00717DB1">
        <w:rPr>
          <w:rFonts w:ascii="Arial" w:hAnsi="Arial" w:cs="Arial"/>
          <w:color w:val="4472C4" w:themeColor="accent1"/>
          <w:sz w:val="24"/>
        </w:rPr>
        <w:t xml:space="preserve"> </w:t>
      </w:r>
      <w:r w:rsidRPr="00717DB1">
        <w:rPr>
          <w:rFonts w:ascii="Arial" w:hAnsi="Arial" w:cs="Arial"/>
          <w:color w:val="auto"/>
          <w:sz w:val="24"/>
        </w:rPr>
        <w:t>subscription</w:t>
      </w:r>
      <w:r w:rsidR="00A96543">
        <w:rPr>
          <w:rFonts w:ascii="Arial" w:hAnsi="Arial" w:cs="Arial"/>
          <w:color w:val="auto"/>
          <w:sz w:val="24"/>
        </w:rPr>
        <w:t>.</w:t>
      </w:r>
    </w:p>
    <w:p w14:paraId="27E6D191" w14:textId="4072A3A3" w:rsidR="00717DB1" w:rsidRPr="00717DB1" w:rsidRDefault="00717DB1" w:rsidP="00717DB1">
      <w:pPr>
        <w:pStyle w:val="Box"/>
        <w:numPr>
          <w:ilvl w:val="0"/>
          <w:numId w:val="35"/>
        </w:numPr>
        <w:spacing w:line="276" w:lineRule="auto"/>
        <w:rPr>
          <w:rFonts w:ascii="Arial" w:hAnsi="Arial" w:cs="Arial"/>
          <w:color w:val="auto"/>
          <w:sz w:val="24"/>
        </w:rPr>
      </w:pPr>
      <w:r w:rsidRPr="00717DB1">
        <w:rPr>
          <w:rFonts w:ascii="Arial" w:hAnsi="Arial" w:cs="Arial"/>
          <w:color w:val="auto"/>
          <w:sz w:val="24"/>
        </w:rPr>
        <w:t xml:space="preserve">In preparation for class, students should identify one question about a matter of fact or context that the film leaves unanswered or assumes </w:t>
      </w:r>
      <w:r>
        <w:rPr>
          <w:rFonts w:ascii="Arial" w:hAnsi="Arial" w:cs="Arial"/>
          <w:color w:val="auto"/>
          <w:sz w:val="24"/>
        </w:rPr>
        <w:t>the viewer already knows</w:t>
      </w:r>
      <w:r w:rsidRPr="00717DB1">
        <w:rPr>
          <w:rFonts w:ascii="Arial" w:hAnsi="Arial" w:cs="Arial"/>
          <w:color w:val="auto"/>
          <w:sz w:val="24"/>
        </w:rPr>
        <w:t>. If your class uses Twitter or an online discussion forum such as Piazza, students can live-tweet or post their question to the class forum; otherwise they can bring their questions to the next class to start discussion.</w:t>
      </w:r>
    </w:p>
    <w:p w14:paraId="6EDBB5A7" w14:textId="3F8F70D1" w:rsidR="00717DB1" w:rsidRPr="00717DB1" w:rsidRDefault="00717DB1" w:rsidP="00717DB1">
      <w:pPr>
        <w:pStyle w:val="Box"/>
        <w:numPr>
          <w:ilvl w:val="0"/>
          <w:numId w:val="35"/>
        </w:numPr>
        <w:spacing w:line="276" w:lineRule="auto"/>
        <w:rPr>
          <w:rFonts w:ascii="Arial" w:hAnsi="Arial" w:cs="Arial"/>
          <w:color w:val="auto"/>
          <w:sz w:val="24"/>
        </w:rPr>
      </w:pPr>
      <w:r w:rsidRPr="00717DB1">
        <w:rPr>
          <w:rFonts w:ascii="Arial" w:hAnsi="Arial" w:cs="Arial"/>
          <w:color w:val="auto"/>
          <w:sz w:val="24"/>
        </w:rPr>
        <w:t>Spend 10–20 minutes addressing the questions the students brought to class. Spend 15–20 minutes discussing selected questions on the “gallery walk”</w:t>
      </w:r>
      <w:r>
        <w:rPr>
          <w:rFonts w:ascii="Arial" w:hAnsi="Arial" w:cs="Arial"/>
          <w:color w:val="auto"/>
          <w:sz w:val="24"/>
        </w:rPr>
        <w:t xml:space="preserve"> (see further details below).</w:t>
      </w:r>
      <w:r w:rsidRPr="00717DB1">
        <w:rPr>
          <w:rFonts w:ascii="Arial" w:hAnsi="Arial" w:cs="Arial"/>
          <w:color w:val="auto"/>
          <w:sz w:val="24"/>
        </w:rPr>
        <w:t xml:space="preserve"> </w:t>
      </w:r>
    </w:p>
    <w:p w14:paraId="6795F7F0" w14:textId="3EC31D7D" w:rsidR="00717DB1" w:rsidRPr="00717DB1" w:rsidRDefault="00717DB1" w:rsidP="00717DB1">
      <w:pPr>
        <w:pStyle w:val="Box"/>
        <w:numPr>
          <w:ilvl w:val="0"/>
          <w:numId w:val="35"/>
        </w:numPr>
        <w:spacing w:line="276" w:lineRule="auto"/>
        <w:rPr>
          <w:rFonts w:ascii="Arial" w:hAnsi="Arial" w:cs="Arial"/>
          <w:color w:val="auto"/>
          <w:sz w:val="24"/>
        </w:rPr>
      </w:pPr>
      <w:r w:rsidRPr="00717DB1">
        <w:rPr>
          <w:rFonts w:ascii="Arial" w:hAnsi="Arial" w:cs="Arial"/>
          <w:color w:val="auto"/>
          <w:sz w:val="24"/>
        </w:rPr>
        <w:t>Assign a short multimedia blog post that asks students to reflect on how the film represents equity and in turn affects their own evolving definition of equity. See sample prompt below. Give students 15 minutes to free-write and outline their initial response to the prompt.</w:t>
      </w:r>
    </w:p>
    <w:p w14:paraId="1B9BD6AF" w14:textId="324AFB4F" w:rsidR="00717DB1" w:rsidRPr="00717DB1" w:rsidRDefault="00A76F07" w:rsidP="00717DB1">
      <w:pPr>
        <w:pStyle w:val="Box"/>
        <w:spacing w:line="276" w:lineRule="auto"/>
        <w:rPr>
          <w:rFonts w:ascii="Georgia" w:hAnsi="Georgia" w:cs="Arial"/>
          <w:b/>
          <w:color w:val="auto"/>
          <w:sz w:val="32"/>
          <w:szCs w:val="32"/>
        </w:rPr>
      </w:pPr>
      <w:r>
        <w:rPr>
          <w:rFonts w:ascii="Georgia" w:hAnsi="Georgia" w:cs="Arial"/>
          <w:b/>
          <w:color w:val="auto"/>
          <w:sz w:val="32"/>
          <w:szCs w:val="32"/>
        </w:rPr>
        <w:t xml:space="preserve">Overview: Te Kura Whare, the </w:t>
      </w:r>
      <w:r w:rsidRPr="00717DB1">
        <w:rPr>
          <w:rFonts w:ascii="Georgia" w:hAnsi="Georgia" w:cs="Arial"/>
          <w:b/>
          <w:color w:val="auto"/>
          <w:sz w:val="32"/>
          <w:szCs w:val="32"/>
        </w:rPr>
        <w:t>Tūhoe</w:t>
      </w:r>
      <w:r>
        <w:rPr>
          <w:rFonts w:ascii="Georgia" w:hAnsi="Georgia" w:cs="Arial"/>
          <w:b/>
          <w:color w:val="auto"/>
          <w:sz w:val="32"/>
          <w:szCs w:val="32"/>
        </w:rPr>
        <w:t>, and New Zealand</w:t>
      </w:r>
    </w:p>
    <w:p w14:paraId="50FC2327" w14:textId="1297673D" w:rsidR="0041209C" w:rsidRPr="0041209C" w:rsidRDefault="00ED6E65" w:rsidP="00792274">
      <w:pPr>
        <w:pStyle w:val="Box"/>
        <w:spacing w:line="276" w:lineRule="auto"/>
        <w:rPr>
          <w:rFonts w:ascii="Arial" w:hAnsi="Arial" w:cs="Arial"/>
          <w:color w:val="auto"/>
          <w:sz w:val="24"/>
        </w:rPr>
      </w:pPr>
      <w:r>
        <w:rPr>
          <w:rFonts w:ascii="Arial" w:hAnsi="Arial" w:cs="Arial"/>
          <w:i/>
          <w:color w:val="auto"/>
          <w:sz w:val="24"/>
        </w:rPr>
        <w:t xml:space="preserve">Ever the Land </w:t>
      </w:r>
      <w:r>
        <w:rPr>
          <w:rFonts w:ascii="Arial" w:hAnsi="Arial" w:cs="Arial"/>
          <w:color w:val="auto"/>
          <w:sz w:val="24"/>
        </w:rPr>
        <w:t>(dir. Sarah Grohnert; 2015)</w:t>
      </w:r>
      <w:r>
        <w:rPr>
          <w:rFonts w:ascii="Arial" w:hAnsi="Arial" w:cs="Arial"/>
          <w:i/>
          <w:color w:val="auto"/>
          <w:sz w:val="24"/>
        </w:rPr>
        <w:t xml:space="preserve"> </w:t>
      </w:r>
      <w:r>
        <w:rPr>
          <w:rFonts w:ascii="Arial" w:hAnsi="Arial" w:cs="Arial"/>
          <w:color w:val="auto"/>
          <w:sz w:val="24"/>
        </w:rPr>
        <w:t>is a documentary film about the construction of Te Kura Whare, the first building in New Zealand</w:t>
      </w:r>
      <w:r w:rsidR="009E448C">
        <w:rPr>
          <w:rFonts w:ascii="Arial" w:hAnsi="Arial" w:cs="Arial"/>
          <w:color w:val="auto"/>
          <w:sz w:val="24"/>
        </w:rPr>
        <w:t>—</w:t>
      </w:r>
      <w:r w:rsidR="0041209C">
        <w:rPr>
          <w:rFonts w:ascii="Arial" w:hAnsi="Arial" w:cs="Arial"/>
          <w:color w:val="auto"/>
          <w:sz w:val="24"/>
        </w:rPr>
        <w:t>1</w:t>
      </w:r>
      <w:r w:rsidR="0041209C" w:rsidRPr="0041209C">
        <w:rPr>
          <w:rFonts w:ascii="Arial" w:hAnsi="Arial" w:cs="Arial"/>
          <w:color w:val="auto"/>
          <w:sz w:val="24"/>
        </w:rPr>
        <w:t>5th</w:t>
      </w:r>
      <w:r w:rsidR="0041209C">
        <w:rPr>
          <w:rFonts w:ascii="Arial" w:hAnsi="Arial" w:cs="Arial"/>
          <w:color w:val="auto"/>
          <w:sz w:val="24"/>
        </w:rPr>
        <w:t xml:space="preserve"> world</w:t>
      </w:r>
      <w:r w:rsidR="009E448C">
        <w:rPr>
          <w:rFonts w:ascii="Arial" w:hAnsi="Arial" w:cs="Arial"/>
          <w:color w:val="auto"/>
          <w:sz w:val="24"/>
        </w:rPr>
        <w:t>wide—t</w:t>
      </w:r>
      <w:r>
        <w:rPr>
          <w:rFonts w:ascii="Arial" w:hAnsi="Arial" w:cs="Arial"/>
          <w:color w:val="auto"/>
          <w:sz w:val="24"/>
        </w:rPr>
        <w:t>o receive full Living Building certification</w:t>
      </w:r>
      <w:r w:rsidR="0041209C">
        <w:rPr>
          <w:rFonts w:ascii="Arial" w:hAnsi="Arial" w:cs="Arial"/>
          <w:color w:val="auto"/>
          <w:sz w:val="24"/>
        </w:rPr>
        <w:t>.</w:t>
      </w:r>
      <w:r>
        <w:rPr>
          <w:rFonts w:ascii="Arial" w:hAnsi="Arial" w:cs="Arial"/>
          <w:color w:val="auto"/>
          <w:sz w:val="24"/>
        </w:rPr>
        <w:t xml:space="preserve"> </w:t>
      </w:r>
      <w:r w:rsidR="009E448C">
        <w:rPr>
          <w:rFonts w:ascii="Arial" w:hAnsi="Arial" w:cs="Arial"/>
          <w:color w:val="auto"/>
          <w:sz w:val="24"/>
        </w:rPr>
        <w:t xml:space="preserve">The film </w:t>
      </w:r>
      <w:r w:rsidR="000865B1">
        <w:rPr>
          <w:rFonts w:ascii="Arial" w:hAnsi="Arial" w:cs="Arial"/>
          <w:color w:val="auto"/>
          <w:sz w:val="24"/>
        </w:rPr>
        <w:t xml:space="preserve">thrusts </w:t>
      </w:r>
      <w:r w:rsidR="009E448C">
        <w:rPr>
          <w:rFonts w:ascii="Arial" w:hAnsi="Arial" w:cs="Arial"/>
          <w:color w:val="auto"/>
          <w:sz w:val="24"/>
        </w:rPr>
        <w:t xml:space="preserve">the viewer </w:t>
      </w:r>
      <w:r w:rsidR="0041209C">
        <w:rPr>
          <w:rFonts w:ascii="Arial" w:hAnsi="Arial" w:cs="Arial"/>
          <w:color w:val="auto"/>
          <w:sz w:val="24"/>
        </w:rPr>
        <w:t xml:space="preserve">into the </w:t>
      </w:r>
      <w:r w:rsidR="000865B1">
        <w:rPr>
          <w:rFonts w:ascii="Arial" w:hAnsi="Arial" w:cs="Arial"/>
          <w:color w:val="auto"/>
          <w:sz w:val="24"/>
        </w:rPr>
        <w:t xml:space="preserve">midst of the Living Build’s </w:t>
      </w:r>
      <w:r w:rsidR="0041209C">
        <w:rPr>
          <w:rFonts w:ascii="Arial" w:hAnsi="Arial" w:cs="Arial"/>
          <w:color w:val="auto"/>
          <w:sz w:val="24"/>
        </w:rPr>
        <w:t>construction</w:t>
      </w:r>
      <w:r w:rsidR="009E448C">
        <w:rPr>
          <w:rFonts w:ascii="Arial" w:hAnsi="Arial" w:cs="Arial"/>
          <w:color w:val="auto"/>
          <w:sz w:val="24"/>
        </w:rPr>
        <w:t xml:space="preserve">, assuming the viewer’s knowledge of </w:t>
      </w:r>
      <w:r w:rsidR="00576CD1">
        <w:rPr>
          <w:rFonts w:ascii="Arial" w:hAnsi="Arial" w:cs="Arial"/>
          <w:color w:val="auto"/>
          <w:sz w:val="24"/>
        </w:rPr>
        <w:t>New Zealand history and recent acts</w:t>
      </w:r>
      <w:r w:rsidR="009E448C">
        <w:rPr>
          <w:rFonts w:ascii="Arial" w:hAnsi="Arial" w:cs="Arial"/>
          <w:color w:val="auto"/>
          <w:sz w:val="24"/>
        </w:rPr>
        <w:t xml:space="preserve"> of </w:t>
      </w:r>
      <w:r w:rsidR="00EA4088">
        <w:rPr>
          <w:rFonts w:ascii="Arial" w:hAnsi="Arial" w:cs="Arial"/>
          <w:color w:val="auto"/>
          <w:sz w:val="24"/>
        </w:rPr>
        <w:t>r</w:t>
      </w:r>
      <w:r w:rsidR="009E448C">
        <w:rPr>
          <w:rFonts w:ascii="Arial" w:hAnsi="Arial" w:cs="Arial"/>
          <w:color w:val="auto"/>
          <w:sz w:val="24"/>
        </w:rPr>
        <w:t>econciliation between the British Crown and the T</w:t>
      </w:r>
      <w:r w:rsidR="009E448C" w:rsidRPr="00176F3F">
        <w:rPr>
          <w:rFonts w:ascii="Arial" w:hAnsi="Arial" w:cs="Arial"/>
          <w:color w:val="auto"/>
          <w:sz w:val="24"/>
        </w:rPr>
        <w:t>ū</w:t>
      </w:r>
      <w:r w:rsidR="00EA4088">
        <w:rPr>
          <w:rFonts w:ascii="Arial" w:hAnsi="Arial" w:cs="Arial"/>
          <w:color w:val="auto"/>
          <w:sz w:val="24"/>
        </w:rPr>
        <w:t xml:space="preserve">hoe </w:t>
      </w:r>
      <w:r w:rsidR="00EA4088">
        <w:rPr>
          <w:rFonts w:ascii="Arial" w:hAnsi="Arial" w:cs="Arial"/>
          <w:i/>
          <w:color w:val="auto"/>
          <w:sz w:val="24"/>
        </w:rPr>
        <w:t xml:space="preserve">iwi, </w:t>
      </w:r>
      <w:r w:rsidR="00EA4088">
        <w:rPr>
          <w:rFonts w:ascii="Arial" w:hAnsi="Arial" w:cs="Arial"/>
          <w:color w:val="auto"/>
          <w:sz w:val="24"/>
        </w:rPr>
        <w:t xml:space="preserve">or “tribe,” of the </w:t>
      </w:r>
      <w:r w:rsidR="009E448C">
        <w:rPr>
          <w:rFonts w:ascii="Arial" w:hAnsi="Arial" w:cs="Arial"/>
          <w:color w:val="auto"/>
          <w:sz w:val="24"/>
        </w:rPr>
        <w:t>Māori</w:t>
      </w:r>
      <w:r w:rsidR="00EA4088">
        <w:rPr>
          <w:rFonts w:ascii="Arial" w:hAnsi="Arial" w:cs="Arial"/>
          <w:color w:val="auto"/>
          <w:sz w:val="24"/>
        </w:rPr>
        <w:t xml:space="preserve">, the island’s indigenous Polynesian culture. </w:t>
      </w:r>
      <w:r w:rsidR="000865B1">
        <w:rPr>
          <w:rFonts w:ascii="Arial" w:hAnsi="Arial" w:cs="Arial"/>
          <w:color w:val="auto"/>
          <w:sz w:val="24"/>
        </w:rPr>
        <w:t xml:space="preserve">Understanding that history will improve your understanding of the documentary itself. </w:t>
      </w:r>
    </w:p>
    <w:p w14:paraId="03F9565D" w14:textId="2DF13EA6" w:rsidR="00C7734C" w:rsidRDefault="00EA4088" w:rsidP="00792274">
      <w:pPr>
        <w:pStyle w:val="Box"/>
        <w:spacing w:line="276" w:lineRule="auto"/>
        <w:rPr>
          <w:rFonts w:ascii="Arial" w:hAnsi="Arial" w:cs="Arial"/>
          <w:color w:val="auto"/>
          <w:sz w:val="24"/>
        </w:rPr>
      </w:pPr>
      <w:r>
        <w:rPr>
          <w:rFonts w:ascii="Arial" w:hAnsi="Arial" w:cs="Arial"/>
          <w:color w:val="auto"/>
          <w:sz w:val="24"/>
        </w:rPr>
        <w:t>T</w:t>
      </w:r>
      <w:r w:rsidR="00F37BB8">
        <w:rPr>
          <w:rFonts w:ascii="Arial" w:hAnsi="Arial" w:cs="Arial"/>
          <w:color w:val="auto"/>
          <w:sz w:val="24"/>
        </w:rPr>
        <w:t>he</w:t>
      </w:r>
      <w:r w:rsidR="009619E8">
        <w:rPr>
          <w:rFonts w:ascii="Arial" w:hAnsi="Arial" w:cs="Arial"/>
          <w:color w:val="auto"/>
          <w:sz w:val="24"/>
        </w:rPr>
        <w:t xml:space="preserve"> T</w:t>
      </w:r>
      <w:r w:rsidR="009619E8" w:rsidRPr="00176F3F">
        <w:rPr>
          <w:rFonts w:ascii="Arial" w:hAnsi="Arial" w:cs="Arial"/>
          <w:color w:val="auto"/>
          <w:sz w:val="24"/>
        </w:rPr>
        <w:t>ū</w:t>
      </w:r>
      <w:r w:rsidR="00576CD1">
        <w:rPr>
          <w:rFonts w:ascii="Arial" w:hAnsi="Arial" w:cs="Arial"/>
          <w:color w:val="auto"/>
          <w:sz w:val="24"/>
        </w:rPr>
        <w:t>hoe is</w:t>
      </w:r>
      <w:r w:rsidR="00664451">
        <w:rPr>
          <w:rFonts w:ascii="Arial" w:hAnsi="Arial" w:cs="Arial"/>
          <w:color w:val="auto"/>
          <w:sz w:val="24"/>
        </w:rPr>
        <w:t xml:space="preserve"> one of the largest</w:t>
      </w:r>
      <w:r w:rsidR="005C1055">
        <w:rPr>
          <w:rFonts w:ascii="Arial" w:hAnsi="Arial" w:cs="Arial"/>
          <w:color w:val="auto"/>
          <w:sz w:val="24"/>
        </w:rPr>
        <w:t xml:space="preserve"> Māori iwi in New Zealand. </w:t>
      </w:r>
      <w:r w:rsidR="000354C6">
        <w:rPr>
          <w:rFonts w:ascii="Arial" w:hAnsi="Arial" w:cs="Arial"/>
          <w:color w:val="auto"/>
          <w:sz w:val="24"/>
        </w:rPr>
        <w:t xml:space="preserve">While the </w:t>
      </w:r>
      <w:r w:rsidR="008C17CA">
        <w:rPr>
          <w:rFonts w:ascii="Arial" w:hAnsi="Arial" w:cs="Arial"/>
          <w:color w:val="auto"/>
          <w:sz w:val="24"/>
        </w:rPr>
        <w:t xml:space="preserve">many </w:t>
      </w:r>
      <w:r w:rsidR="005C1055">
        <w:rPr>
          <w:rFonts w:ascii="Arial" w:hAnsi="Arial" w:cs="Arial"/>
          <w:color w:val="auto"/>
          <w:sz w:val="24"/>
        </w:rPr>
        <w:t>iwi</w:t>
      </w:r>
      <w:r w:rsidR="000354C6">
        <w:rPr>
          <w:rFonts w:ascii="Arial" w:hAnsi="Arial" w:cs="Arial"/>
          <w:i/>
          <w:color w:val="auto"/>
          <w:sz w:val="24"/>
        </w:rPr>
        <w:t xml:space="preserve"> </w:t>
      </w:r>
      <w:r w:rsidR="005E1750">
        <w:rPr>
          <w:rFonts w:ascii="Arial" w:hAnsi="Arial" w:cs="Arial"/>
          <w:color w:val="auto"/>
          <w:sz w:val="24"/>
        </w:rPr>
        <w:t>live</w:t>
      </w:r>
      <w:r w:rsidR="005C1055">
        <w:rPr>
          <w:rFonts w:ascii="Arial" w:hAnsi="Arial" w:cs="Arial"/>
          <w:color w:val="auto"/>
          <w:sz w:val="24"/>
        </w:rPr>
        <w:t xml:space="preserve"> throughout the island a</w:t>
      </w:r>
      <w:r w:rsidR="00C7734C">
        <w:rPr>
          <w:rFonts w:ascii="Arial" w:hAnsi="Arial" w:cs="Arial"/>
          <w:color w:val="auto"/>
          <w:sz w:val="24"/>
        </w:rPr>
        <w:t>s well as</w:t>
      </w:r>
      <w:r w:rsidR="008C17CA">
        <w:rPr>
          <w:rFonts w:ascii="Arial" w:hAnsi="Arial" w:cs="Arial"/>
          <w:color w:val="auto"/>
          <w:sz w:val="24"/>
        </w:rPr>
        <w:t xml:space="preserve"> </w:t>
      </w:r>
      <w:r w:rsidR="00C7734C">
        <w:rPr>
          <w:rFonts w:ascii="Arial" w:hAnsi="Arial" w:cs="Arial"/>
          <w:color w:val="auto"/>
          <w:sz w:val="24"/>
        </w:rPr>
        <w:t>in Australia</w:t>
      </w:r>
      <w:r w:rsidR="005C1055">
        <w:rPr>
          <w:rFonts w:ascii="Arial" w:hAnsi="Arial" w:cs="Arial"/>
          <w:color w:val="auto"/>
          <w:sz w:val="24"/>
        </w:rPr>
        <w:t>,</w:t>
      </w:r>
      <w:r w:rsidR="000354C6">
        <w:rPr>
          <w:rFonts w:ascii="Arial" w:hAnsi="Arial" w:cs="Arial"/>
          <w:color w:val="auto"/>
          <w:sz w:val="24"/>
        </w:rPr>
        <w:t xml:space="preserve"> t</w:t>
      </w:r>
      <w:r w:rsidR="00E416BF">
        <w:rPr>
          <w:rFonts w:ascii="Arial" w:hAnsi="Arial" w:cs="Arial"/>
          <w:color w:val="auto"/>
          <w:sz w:val="24"/>
        </w:rPr>
        <w:t>he T</w:t>
      </w:r>
      <w:r w:rsidR="00E416BF" w:rsidRPr="00176F3F">
        <w:rPr>
          <w:rFonts w:ascii="Arial" w:hAnsi="Arial" w:cs="Arial"/>
          <w:color w:val="auto"/>
          <w:sz w:val="24"/>
        </w:rPr>
        <w:t>ū</w:t>
      </w:r>
      <w:r w:rsidR="00E416BF">
        <w:rPr>
          <w:rFonts w:ascii="Arial" w:hAnsi="Arial" w:cs="Arial"/>
          <w:color w:val="auto"/>
          <w:sz w:val="24"/>
        </w:rPr>
        <w:t>hoe claim</w:t>
      </w:r>
      <w:r w:rsidR="00C7734C">
        <w:rPr>
          <w:rFonts w:ascii="Arial" w:hAnsi="Arial" w:cs="Arial"/>
          <w:color w:val="auto"/>
          <w:sz w:val="24"/>
        </w:rPr>
        <w:t xml:space="preserve"> as their home territory</w:t>
      </w:r>
      <w:r w:rsidR="008C17CA">
        <w:rPr>
          <w:rFonts w:ascii="Arial" w:hAnsi="Arial" w:cs="Arial"/>
          <w:color w:val="auto"/>
          <w:sz w:val="24"/>
        </w:rPr>
        <w:t xml:space="preserve"> </w:t>
      </w:r>
      <w:hyperlink r:id="rId21" w:history="1">
        <w:r w:rsidR="008C17CA" w:rsidRPr="00E416BF">
          <w:rPr>
            <w:rStyle w:val="Hyperlink"/>
            <w:rFonts w:ascii="Arial" w:hAnsi="Arial" w:cs="Arial"/>
            <w:sz w:val="24"/>
          </w:rPr>
          <w:t>Te Urewera</w:t>
        </w:r>
      </w:hyperlink>
      <w:r w:rsidR="00C7734C">
        <w:rPr>
          <w:rFonts w:ascii="Arial" w:hAnsi="Arial" w:cs="Arial"/>
          <w:color w:val="auto"/>
          <w:sz w:val="24"/>
        </w:rPr>
        <w:t xml:space="preserve">, </w:t>
      </w:r>
      <w:r w:rsidR="008C17CA">
        <w:rPr>
          <w:rFonts w:ascii="Arial" w:hAnsi="Arial" w:cs="Arial"/>
          <w:color w:val="auto"/>
          <w:sz w:val="24"/>
        </w:rPr>
        <w:t>the large native forest</w:t>
      </w:r>
      <w:r w:rsidR="00555E52">
        <w:rPr>
          <w:rFonts w:ascii="Arial" w:hAnsi="Arial" w:cs="Arial"/>
          <w:color w:val="auto"/>
          <w:sz w:val="24"/>
        </w:rPr>
        <w:t xml:space="preserve"> and bird habitat</w:t>
      </w:r>
      <w:r w:rsidR="008C17CA">
        <w:rPr>
          <w:rFonts w:ascii="Arial" w:hAnsi="Arial" w:cs="Arial"/>
          <w:color w:val="auto"/>
          <w:sz w:val="24"/>
        </w:rPr>
        <w:t xml:space="preserve"> in the North Island</w:t>
      </w:r>
      <w:r w:rsidR="005C1055">
        <w:rPr>
          <w:rFonts w:ascii="Arial" w:hAnsi="Arial" w:cs="Arial"/>
          <w:color w:val="auto"/>
          <w:sz w:val="24"/>
        </w:rPr>
        <w:t>.</w:t>
      </w:r>
      <w:r w:rsidR="00C7734C">
        <w:rPr>
          <w:rFonts w:ascii="Arial" w:hAnsi="Arial" w:cs="Arial"/>
          <w:color w:val="auto"/>
          <w:sz w:val="24"/>
        </w:rPr>
        <w:t xml:space="preserve"> However, the British Crown’s repeated violation of treaty terms, particularly over the course of</w:t>
      </w:r>
      <w:r w:rsidR="001404D9">
        <w:rPr>
          <w:rFonts w:ascii="Arial" w:hAnsi="Arial" w:cs="Arial"/>
          <w:color w:val="auto"/>
          <w:sz w:val="24"/>
        </w:rPr>
        <w:t xml:space="preserve"> the </w:t>
      </w:r>
      <w:r w:rsidR="001404D9">
        <w:rPr>
          <w:rFonts w:ascii="Arial" w:hAnsi="Arial" w:cs="Arial"/>
          <w:color w:val="auto"/>
          <w:sz w:val="24"/>
        </w:rPr>
        <w:lastRenderedPageBreak/>
        <w:t>twentieth century,</w:t>
      </w:r>
      <w:r w:rsidR="008B782E">
        <w:rPr>
          <w:rFonts w:ascii="Arial" w:hAnsi="Arial" w:cs="Arial"/>
          <w:color w:val="auto"/>
          <w:sz w:val="24"/>
        </w:rPr>
        <w:t xml:space="preserve"> effected the illegal, incremental</w:t>
      </w:r>
      <w:r w:rsidR="00D1231A">
        <w:rPr>
          <w:rFonts w:ascii="Arial" w:hAnsi="Arial" w:cs="Arial"/>
          <w:color w:val="auto"/>
          <w:sz w:val="24"/>
        </w:rPr>
        <w:t xml:space="preserve"> </w:t>
      </w:r>
      <w:r w:rsidR="008B782E">
        <w:rPr>
          <w:rFonts w:ascii="Arial" w:hAnsi="Arial" w:cs="Arial"/>
          <w:color w:val="auto"/>
          <w:sz w:val="24"/>
        </w:rPr>
        <w:t>appropriation of Te Urewera for the Crown’s</w:t>
      </w:r>
      <w:r w:rsidR="001404D9">
        <w:rPr>
          <w:rFonts w:ascii="Arial" w:hAnsi="Arial" w:cs="Arial"/>
          <w:color w:val="auto"/>
          <w:sz w:val="24"/>
        </w:rPr>
        <w:t xml:space="preserve"> own purpose and profit. These violations in turn deprived the T</w:t>
      </w:r>
      <w:r w:rsidR="001404D9" w:rsidRPr="00176F3F">
        <w:rPr>
          <w:rFonts w:ascii="Arial" w:hAnsi="Arial" w:cs="Arial"/>
          <w:color w:val="auto"/>
          <w:sz w:val="24"/>
        </w:rPr>
        <w:t>ū</w:t>
      </w:r>
      <w:r w:rsidR="001404D9">
        <w:rPr>
          <w:rFonts w:ascii="Arial" w:hAnsi="Arial" w:cs="Arial"/>
          <w:color w:val="auto"/>
          <w:sz w:val="24"/>
        </w:rPr>
        <w:t>hoe of t</w:t>
      </w:r>
      <w:r w:rsidR="008B782E">
        <w:rPr>
          <w:rFonts w:ascii="Arial" w:hAnsi="Arial" w:cs="Arial"/>
          <w:color w:val="auto"/>
          <w:sz w:val="24"/>
        </w:rPr>
        <w:t>heir rightful equity and drove</w:t>
      </w:r>
      <w:r w:rsidR="001404D9">
        <w:rPr>
          <w:rFonts w:ascii="Arial" w:hAnsi="Arial" w:cs="Arial"/>
          <w:color w:val="auto"/>
          <w:sz w:val="24"/>
        </w:rPr>
        <w:t xml:space="preserve"> much of the </w:t>
      </w:r>
      <w:r w:rsidR="00D1231A">
        <w:rPr>
          <w:rFonts w:ascii="Arial" w:hAnsi="Arial" w:cs="Arial"/>
          <w:color w:val="auto"/>
          <w:sz w:val="24"/>
        </w:rPr>
        <w:t>population from their</w:t>
      </w:r>
      <w:r w:rsidR="001404D9">
        <w:rPr>
          <w:rFonts w:ascii="Arial" w:hAnsi="Arial" w:cs="Arial"/>
          <w:color w:val="auto"/>
          <w:sz w:val="24"/>
        </w:rPr>
        <w:t xml:space="preserve"> home territory</w:t>
      </w:r>
      <w:r w:rsidR="00D1231A">
        <w:rPr>
          <w:rFonts w:ascii="Arial" w:hAnsi="Arial" w:cs="Arial"/>
          <w:color w:val="auto"/>
          <w:sz w:val="24"/>
        </w:rPr>
        <w:t xml:space="preserve"> in search of greater opportunity</w:t>
      </w:r>
      <w:r w:rsidR="005A62FE">
        <w:rPr>
          <w:rFonts w:ascii="Arial" w:hAnsi="Arial" w:cs="Arial"/>
          <w:color w:val="auto"/>
          <w:sz w:val="24"/>
        </w:rPr>
        <w:t xml:space="preserve"> and autonomy</w:t>
      </w:r>
      <w:r w:rsidR="00D1231A">
        <w:rPr>
          <w:rFonts w:ascii="Arial" w:hAnsi="Arial" w:cs="Arial"/>
          <w:color w:val="auto"/>
          <w:sz w:val="24"/>
        </w:rPr>
        <w:t xml:space="preserve">. </w:t>
      </w:r>
      <w:r w:rsidR="005A62FE">
        <w:rPr>
          <w:rFonts w:ascii="Arial" w:hAnsi="Arial" w:cs="Arial"/>
          <w:color w:val="auto"/>
          <w:sz w:val="24"/>
        </w:rPr>
        <w:t>Today nearly five-sixths of the T</w:t>
      </w:r>
      <w:r w:rsidR="005A62FE" w:rsidRPr="00176F3F">
        <w:rPr>
          <w:rFonts w:ascii="Arial" w:hAnsi="Arial" w:cs="Arial"/>
          <w:color w:val="auto"/>
          <w:sz w:val="24"/>
        </w:rPr>
        <w:t>ū</w:t>
      </w:r>
      <w:r w:rsidR="005A62FE">
        <w:rPr>
          <w:rFonts w:ascii="Arial" w:hAnsi="Arial" w:cs="Arial"/>
          <w:color w:val="auto"/>
          <w:sz w:val="24"/>
        </w:rPr>
        <w:t xml:space="preserve">hoe population lives outside </w:t>
      </w:r>
      <w:r w:rsidR="009519AE">
        <w:rPr>
          <w:rFonts w:ascii="Arial" w:hAnsi="Arial" w:cs="Arial"/>
          <w:color w:val="auto"/>
          <w:sz w:val="24"/>
        </w:rPr>
        <w:t>Te Urewera; those who remain suffer severe socioeconomic hardship.</w:t>
      </w:r>
      <w:r w:rsidR="005A62FE">
        <w:rPr>
          <w:rFonts w:ascii="Arial" w:hAnsi="Arial" w:cs="Arial"/>
          <w:color w:val="auto"/>
          <w:sz w:val="24"/>
        </w:rPr>
        <w:t xml:space="preserve"> </w:t>
      </w:r>
    </w:p>
    <w:p w14:paraId="5E96790B" w14:textId="601BB8E8" w:rsidR="00790C70" w:rsidRDefault="00D1231A" w:rsidP="00792274">
      <w:pPr>
        <w:pStyle w:val="Box"/>
        <w:spacing w:line="276" w:lineRule="auto"/>
        <w:rPr>
          <w:rFonts w:ascii="Arial" w:hAnsi="Arial" w:cs="Arial"/>
          <w:color w:val="auto"/>
          <w:sz w:val="24"/>
        </w:rPr>
      </w:pPr>
      <w:r>
        <w:rPr>
          <w:rFonts w:ascii="Arial" w:hAnsi="Arial" w:cs="Arial"/>
          <w:color w:val="auto"/>
          <w:sz w:val="24"/>
        </w:rPr>
        <w:t>The origin of the historical conflict between the British Crown and the Māori pe</w:t>
      </w:r>
      <w:r w:rsidR="001404D9">
        <w:rPr>
          <w:rFonts w:ascii="Arial" w:hAnsi="Arial" w:cs="Arial"/>
          <w:color w:val="auto"/>
          <w:sz w:val="24"/>
        </w:rPr>
        <w:t>ople is the 1840 Treaty of Waitang</w:t>
      </w:r>
      <w:r w:rsidR="00DB6D3E">
        <w:rPr>
          <w:rFonts w:ascii="Arial" w:hAnsi="Arial" w:cs="Arial"/>
          <w:color w:val="auto"/>
          <w:sz w:val="24"/>
        </w:rPr>
        <w:t>i, which established the</w:t>
      </w:r>
      <w:r w:rsidR="001404D9">
        <w:rPr>
          <w:rFonts w:ascii="Arial" w:hAnsi="Arial" w:cs="Arial"/>
          <w:color w:val="auto"/>
          <w:sz w:val="24"/>
        </w:rPr>
        <w:t xml:space="preserve"> Crown as the head of state in New Zealand. </w:t>
      </w:r>
      <w:r w:rsidR="005A62FE">
        <w:rPr>
          <w:rFonts w:ascii="Arial" w:hAnsi="Arial" w:cs="Arial"/>
          <w:color w:val="auto"/>
          <w:sz w:val="24"/>
        </w:rPr>
        <w:t>Unlike other iwi, t</w:t>
      </w:r>
      <w:r w:rsidR="008B782E">
        <w:rPr>
          <w:rFonts w:ascii="Arial" w:hAnsi="Arial" w:cs="Arial"/>
          <w:color w:val="auto"/>
          <w:sz w:val="24"/>
        </w:rPr>
        <w:t>h</w:t>
      </w:r>
      <w:r w:rsidR="00271A37">
        <w:rPr>
          <w:rFonts w:ascii="Arial" w:hAnsi="Arial" w:cs="Arial"/>
          <w:color w:val="auto"/>
          <w:sz w:val="24"/>
        </w:rPr>
        <w:t>e T</w:t>
      </w:r>
      <w:r w:rsidR="00271A37" w:rsidRPr="00176F3F">
        <w:rPr>
          <w:rFonts w:ascii="Arial" w:hAnsi="Arial" w:cs="Arial"/>
          <w:color w:val="auto"/>
          <w:sz w:val="24"/>
        </w:rPr>
        <w:t>ū</w:t>
      </w:r>
      <w:r w:rsidR="00271A37">
        <w:rPr>
          <w:rFonts w:ascii="Arial" w:hAnsi="Arial" w:cs="Arial"/>
          <w:color w:val="auto"/>
          <w:sz w:val="24"/>
        </w:rPr>
        <w:t>hoe neve</w:t>
      </w:r>
      <w:r w:rsidR="008B782E">
        <w:rPr>
          <w:rFonts w:ascii="Arial" w:hAnsi="Arial" w:cs="Arial"/>
          <w:color w:val="auto"/>
          <w:sz w:val="24"/>
        </w:rPr>
        <w:t>r signed the Treaty of Waitangi;</w:t>
      </w:r>
      <w:r w:rsidR="00271A37">
        <w:rPr>
          <w:rFonts w:ascii="Arial" w:hAnsi="Arial" w:cs="Arial"/>
          <w:color w:val="auto"/>
          <w:sz w:val="24"/>
        </w:rPr>
        <w:t xml:space="preserve"> thus</w:t>
      </w:r>
      <w:r w:rsidR="008B782E">
        <w:rPr>
          <w:rFonts w:ascii="Arial" w:hAnsi="Arial" w:cs="Arial"/>
          <w:color w:val="auto"/>
          <w:sz w:val="24"/>
        </w:rPr>
        <w:t xml:space="preserve"> they ha</w:t>
      </w:r>
      <w:r w:rsidR="00DB6D3E">
        <w:rPr>
          <w:rFonts w:ascii="Arial" w:hAnsi="Arial" w:cs="Arial"/>
          <w:color w:val="auto"/>
          <w:sz w:val="24"/>
        </w:rPr>
        <w:t xml:space="preserve">ve never recognized the </w:t>
      </w:r>
      <w:r w:rsidR="008B782E">
        <w:rPr>
          <w:rFonts w:ascii="Arial" w:hAnsi="Arial" w:cs="Arial"/>
          <w:color w:val="auto"/>
          <w:sz w:val="24"/>
        </w:rPr>
        <w:t>Crown as their</w:t>
      </w:r>
      <w:r w:rsidR="00271A37">
        <w:rPr>
          <w:rFonts w:ascii="Arial" w:hAnsi="Arial" w:cs="Arial"/>
          <w:color w:val="auto"/>
          <w:sz w:val="24"/>
        </w:rPr>
        <w:t xml:space="preserve"> legislative authority.</w:t>
      </w:r>
      <w:r w:rsidR="008B782E">
        <w:rPr>
          <w:rFonts w:ascii="Arial" w:hAnsi="Arial" w:cs="Arial"/>
          <w:color w:val="auto"/>
          <w:sz w:val="24"/>
        </w:rPr>
        <w:t xml:space="preserve"> </w:t>
      </w:r>
      <w:r w:rsidR="005A62FE">
        <w:rPr>
          <w:rFonts w:ascii="Arial" w:hAnsi="Arial" w:cs="Arial"/>
          <w:color w:val="auto"/>
          <w:sz w:val="24"/>
        </w:rPr>
        <w:t>T</w:t>
      </w:r>
      <w:r w:rsidR="001404D9">
        <w:rPr>
          <w:rFonts w:ascii="Arial" w:hAnsi="Arial" w:cs="Arial"/>
          <w:color w:val="auto"/>
          <w:sz w:val="24"/>
        </w:rPr>
        <w:t>he century between 1840 and</w:t>
      </w:r>
      <w:r w:rsidR="003A079D">
        <w:rPr>
          <w:rFonts w:ascii="Arial" w:hAnsi="Arial" w:cs="Arial"/>
          <w:color w:val="auto"/>
          <w:sz w:val="24"/>
        </w:rPr>
        <w:t xml:space="preserve"> 1954 traces a series of </w:t>
      </w:r>
      <w:r w:rsidR="00271A37">
        <w:rPr>
          <w:rFonts w:ascii="Arial" w:hAnsi="Arial" w:cs="Arial"/>
          <w:color w:val="auto"/>
          <w:sz w:val="24"/>
        </w:rPr>
        <w:t xml:space="preserve">unprovoked and unauthorized </w:t>
      </w:r>
      <w:r w:rsidR="009519AE">
        <w:rPr>
          <w:rFonts w:ascii="Arial" w:hAnsi="Arial" w:cs="Arial"/>
          <w:color w:val="auto"/>
          <w:sz w:val="24"/>
        </w:rPr>
        <w:t>encroachments</w:t>
      </w:r>
      <w:r w:rsidR="00271A37">
        <w:rPr>
          <w:rFonts w:ascii="Arial" w:hAnsi="Arial" w:cs="Arial"/>
          <w:color w:val="auto"/>
          <w:sz w:val="24"/>
        </w:rPr>
        <w:t xml:space="preserve"> on Te Urewera</w:t>
      </w:r>
      <w:r w:rsidR="009519AE">
        <w:rPr>
          <w:rFonts w:ascii="Arial" w:hAnsi="Arial" w:cs="Arial"/>
          <w:color w:val="auto"/>
          <w:sz w:val="24"/>
        </w:rPr>
        <w:t>; notable among these are th</w:t>
      </w:r>
      <w:r w:rsidR="003A079D">
        <w:rPr>
          <w:rFonts w:ascii="Arial" w:hAnsi="Arial" w:cs="Arial"/>
          <w:color w:val="auto"/>
          <w:sz w:val="24"/>
        </w:rPr>
        <w:t xml:space="preserve">e </w:t>
      </w:r>
      <w:hyperlink r:id="rId22" w:history="1">
        <w:r w:rsidR="003A079D" w:rsidRPr="00E43398">
          <w:rPr>
            <w:rStyle w:val="Hyperlink"/>
            <w:rFonts w:ascii="Arial" w:hAnsi="Arial" w:cs="Arial"/>
            <w:sz w:val="24"/>
          </w:rPr>
          <w:t>enforcement of a “confiscation line” in 1865</w:t>
        </w:r>
      </w:hyperlink>
      <w:r w:rsidR="00271A37">
        <w:rPr>
          <w:rFonts w:ascii="Arial" w:hAnsi="Arial" w:cs="Arial"/>
          <w:color w:val="auto"/>
          <w:sz w:val="24"/>
        </w:rPr>
        <w:t xml:space="preserve"> and</w:t>
      </w:r>
      <w:r w:rsidR="009519AE">
        <w:rPr>
          <w:rFonts w:ascii="Arial" w:hAnsi="Arial" w:cs="Arial"/>
          <w:color w:val="auto"/>
          <w:sz w:val="24"/>
        </w:rPr>
        <w:t xml:space="preserve"> the federal e</w:t>
      </w:r>
      <w:r w:rsidR="00271A37">
        <w:rPr>
          <w:rFonts w:ascii="Arial" w:hAnsi="Arial" w:cs="Arial"/>
          <w:color w:val="auto"/>
          <w:sz w:val="24"/>
        </w:rPr>
        <w:t>stablishment of the Te Urewera National Park in 1954.</w:t>
      </w:r>
      <w:r w:rsidR="001404D9">
        <w:rPr>
          <w:rFonts w:ascii="Arial" w:hAnsi="Arial" w:cs="Arial"/>
          <w:color w:val="auto"/>
          <w:sz w:val="24"/>
        </w:rPr>
        <w:t xml:space="preserve"> </w:t>
      </w:r>
    </w:p>
    <w:p w14:paraId="5C0E6E1D" w14:textId="0342A8FE" w:rsidR="007D147D" w:rsidRPr="00434734" w:rsidRDefault="009519AE" w:rsidP="007D147D">
      <w:pPr>
        <w:pStyle w:val="Box"/>
        <w:spacing w:line="276" w:lineRule="auto"/>
        <w:rPr>
          <w:rFonts w:ascii="Arial" w:hAnsi="Arial" w:cs="Arial"/>
          <w:color w:val="auto"/>
          <w:sz w:val="24"/>
        </w:rPr>
      </w:pPr>
      <w:r>
        <w:rPr>
          <w:rFonts w:ascii="Arial" w:hAnsi="Arial" w:cs="Arial"/>
          <w:color w:val="auto"/>
          <w:sz w:val="24"/>
        </w:rPr>
        <w:t>In 2011 the T</w:t>
      </w:r>
      <w:r w:rsidRPr="00176F3F">
        <w:rPr>
          <w:rFonts w:ascii="Arial" w:hAnsi="Arial" w:cs="Arial"/>
          <w:color w:val="auto"/>
          <w:sz w:val="24"/>
        </w:rPr>
        <w:t>ū</w:t>
      </w:r>
      <w:r>
        <w:rPr>
          <w:rFonts w:ascii="Arial" w:hAnsi="Arial" w:cs="Arial"/>
          <w:color w:val="auto"/>
          <w:sz w:val="24"/>
        </w:rPr>
        <w:t>hoe and the Crown began a series of negotiations toward the coexistence of the two self-</w:t>
      </w:r>
      <w:r w:rsidR="000B0F3B">
        <w:rPr>
          <w:rFonts w:ascii="Arial" w:hAnsi="Arial" w:cs="Arial"/>
          <w:color w:val="auto"/>
          <w:sz w:val="24"/>
        </w:rPr>
        <w:t>determining, self-governing</w:t>
      </w:r>
      <w:r>
        <w:rPr>
          <w:rFonts w:ascii="Arial" w:hAnsi="Arial" w:cs="Arial"/>
          <w:color w:val="auto"/>
          <w:sz w:val="24"/>
        </w:rPr>
        <w:t xml:space="preserve"> entities</w:t>
      </w:r>
      <w:r w:rsidR="000B0F3B">
        <w:rPr>
          <w:rFonts w:ascii="Arial" w:hAnsi="Arial" w:cs="Arial"/>
          <w:color w:val="auto"/>
          <w:sz w:val="24"/>
        </w:rPr>
        <w:t xml:space="preserve">. </w:t>
      </w:r>
      <w:r w:rsidR="009375EB">
        <w:rPr>
          <w:rFonts w:ascii="Arial" w:hAnsi="Arial" w:cs="Arial"/>
          <w:color w:val="auto"/>
          <w:sz w:val="24"/>
        </w:rPr>
        <w:t>The initial compact of mutual recognition led to the institution of a Social Services Management Plan in 2012, designating the Crown’s commitment via three of its social ministries to repair the socioeconomic conditions of the T</w:t>
      </w:r>
      <w:r w:rsidR="009375EB" w:rsidRPr="00176F3F">
        <w:rPr>
          <w:rFonts w:ascii="Arial" w:hAnsi="Arial" w:cs="Arial"/>
          <w:color w:val="auto"/>
          <w:sz w:val="24"/>
        </w:rPr>
        <w:t>ū</w:t>
      </w:r>
      <w:r w:rsidR="009375EB">
        <w:rPr>
          <w:rFonts w:ascii="Arial" w:hAnsi="Arial" w:cs="Arial"/>
          <w:color w:val="auto"/>
          <w:sz w:val="24"/>
        </w:rPr>
        <w:t xml:space="preserve">hoe people. </w:t>
      </w:r>
      <w:r w:rsidR="000B0F3B">
        <w:rPr>
          <w:rFonts w:ascii="Arial" w:hAnsi="Arial" w:cs="Arial"/>
          <w:color w:val="auto"/>
          <w:sz w:val="24"/>
        </w:rPr>
        <w:t>These negotiations culminated in the historic T</w:t>
      </w:r>
      <w:r w:rsidR="000B0F3B" w:rsidRPr="00176F3F">
        <w:rPr>
          <w:rFonts w:ascii="Arial" w:hAnsi="Arial" w:cs="Arial"/>
          <w:color w:val="auto"/>
          <w:sz w:val="24"/>
        </w:rPr>
        <w:t>ū</w:t>
      </w:r>
      <w:r w:rsidR="000B0F3B">
        <w:rPr>
          <w:rFonts w:ascii="Arial" w:hAnsi="Arial" w:cs="Arial"/>
          <w:color w:val="auto"/>
          <w:sz w:val="24"/>
        </w:rPr>
        <w:t xml:space="preserve">hoe-Crown Settlement of 2014. The settlement consists of two acts: the </w:t>
      </w:r>
      <w:r w:rsidR="00F53EB2">
        <w:rPr>
          <w:rFonts w:ascii="Arial" w:hAnsi="Arial" w:cs="Arial"/>
          <w:color w:val="auto"/>
          <w:sz w:val="24"/>
        </w:rPr>
        <w:t>T</w:t>
      </w:r>
      <w:r w:rsidR="00F53EB2" w:rsidRPr="00176F3F">
        <w:rPr>
          <w:rFonts w:ascii="Arial" w:hAnsi="Arial" w:cs="Arial"/>
          <w:color w:val="auto"/>
          <w:sz w:val="24"/>
        </w:rPr>
        <w:t>ū</w:t>
      </w:r>
      <w:r w:rsidR="00F53EB2">
        <w:rPr>
          <w:rFonts w:ascii="Arial" w:hAnsi="Arial" w:cs="Arial"/>
          <w:color w:val="auto"/>
          <w:sz w:val="24"/>
        </w:rPr>
        <w:t xml:space="preserve">hoe </w:t>
      </w:r>
      <w:r w:rsidR="000B0F3B">
        <w:rPr>
          <w:rFonts w:ascii="Arial" w:hAnsi="Arial" w:cs="Arial"/>
          <w:color w:val="auto"/>
          <w:sz w:val="24"/>
        </w:rPr>
        <w:t>Claims Settlement Act 2014 and the Te Urewera Act 2014. Th</w:t>
      </w:r>
      <w:r w:rsidR="00DB6D3E">
        <w:rPr>
          <w:rFonts w:ascii="Arial" w:hAnsi="Arial" w:cs="Arial"/>
          <w:color w:val="auto"/>
          <w:sz w:val="24"/>
        </w:rPr>
        <w:t xml:space="preserve">e settlement </w:t>
      </w:r>
      <w:r w:rsidR="000B0F3B">
        <w:rPr>
          <w:rFonts w:ascii="Arial" w:hAnsi="Arial" w:cs="Arial"/>
          <w:color w:val="auto"/>
          <w:sz w:val="24"/>
        </w:rPr>
        <w:t>include</w:t>
      </w:r>
      <w:r w:rsidR="00DB6D3E">
        <w:rPr>
          <w:rFonts w:ascii="Arial" w:hAnsi="Arial" w:cs="Arial"/>
          <w:color w:val="auto"/>
          <w:sz w:val="24"/>
        </w:rPr>
        <w:t>s</w:t>
      </w:r>
      <w:r w:rsidR="000B0F3B">
        <w:rPr>
          <w:rFonts w:ascii="Arial" w:hAnsi="Arial" w:cs="Arial"/>
          <w:color w:val="auto"/>
          <w:sz w:val="24"/>
        </w:rPr>
        <w:t xml:space="preserve"> reparations payment</w:t>
      </w:r>
      <w:r w:rsidR="00DB6D3E">
        <w:rPr>
          <w:rFonts w:ascii="Arial" w:hAnsi="Arial" w:cs="Arial"/>
          <w:color w:val="auto"/>
          <w:sz w:val="24"/>
        </w:rPr>
        <w:t>s totaling</w:t>
      </w:r>
      <w:r w:rsidR="000B0F3B">
        <w:rPr>
          <w:rFonts w:ascii="Arial" w:hAnsi="Arial" w:cs="Arial"/>
          <w:color w:val="auto"/>
          <w:sz w:val="24"/>
        </w:rPr>
        <w:t xml:space="preserve"> </w:t>
      </w:r>
      <w:r w:rsidR="00DB6D3E">
        <w:rPr>
          <w:rFonts w:ascii="Arial" w:hAnsi="Arial" w:cs="Arial"/>
          <w:color w:val="auto"/>
          <w:sz w:val="24"/>
        </w:rPr>
        <w:t>170 million New Zealand dollars, an official public apology delivered by the Associate Minister of Māori Affairs</w:t>
      </w:r>
      <w:r w:rsidR="00C725A8">
        <w:rPr>
          <w:rFonts w:ascii="Arial" w:hAnsi="Arial" w:cs="Arial"/>
          <w:color w:val="auto"/>
          <w:sz w:val="24"/>
        </w:rPr>
        <w:t xml:space="preserve"> (sampled in the film)</w:t>
      </w:r>
      <w:r w:rsidR="00DB6D3E">
        <w:rPr>
          <w:rFonts w:ascii="Arial" w:hAnsi="Arial" w:cs="Arial"/>
          <w:color w:val="auto"/>
          <w:sz w:val="24"/>
        </w:rPr>
        <w:t>, and the T</w:t>
      </w:r>
      <w:r w:rsidR="00DB6D3E" w:rsidRPr="00176F3F">
        <w:rPr>
          <w:rFonts w:ascii="Arial" w:hAnsi="Arial" w:cs="Arial"/>
          <w:color w:val="auto"/>
          <w:sz w:val="24"/>
        </w:rPr>
        <w:t>ū</w:t>
      </w:r>
      <w:r w:rsidR="00DB6D3E">
        <w:rPr>
          <w:rFonts w:ascii="Arial" w:hAnsi="Arial" w:cs="Arial"/>
          <w:color w:val="auto"/>
          <w:sz w:val="24"/>
        </w:rPr>
        <w:t>hoe</w:t>
      </w:r>
      <w:r w:rsidR="007D147D">
        <w:rPr>
          <w:rFonts w:ascii="Arial" w:hAnsi="Arial" w:cs="Arial"/>
          <w:color w:val="auto"/>
          <w:sz w:val="24"/>
        </w:rPr>
        <w:t>’s</w:t>
      </w:r>
      <w:r w:rsidR="00DB6D3E">
        <w:rPr>
          <w:rFonts w:ascii="Arial" w:hAnsi="Arial" w:cs="Arial"/>
          <w:color w:val="auto"/>
          <w:sz w:val="24"/>
        </w:rPr>
        <w:t xml:space="preserve"> resumption of governance over Te Urewera. </w:t>
      </w:r>
      <w:r w:rsidR="007D147D">
        <w:rPr>
          <w:rFonts w:ascii="Arial" w:hAnsi="Arial" w:cs="Arial"/>
          <w:color w:val="auto"/>
          <w:sz w:val="24"/>
        </w:rPr>
        <w:t>The T</w:t>
      </w:r>
      <w:r w:rsidR="007D147D" w:rsidRPr="00176F3F">
        <w:rPr>
          <w:rFonts w:ascii="Arial" w:hAnsi="Arial" w:cs="Arial"/>
          <w:color w:val="auto"/>
          <w:sz w:val="24"/>
        </w:rPr>
        <w:t>ū</w:t>
      </w:r>
      <w:r w:rsidR="007D147D">
        <w:rPr>
          <w:rFonts w:ascii="Arial" w:hAnsi="Arial" w:cs="Arial"/>
          <w:color w:val="auto"/>
          <w:sz w:val="24"/>
        </w:rPr>
        <w:t>hoe are now mutually acknowledged as the “host” and “guardians” of Te Urewera, which they recognize as an “identity and legal person in its own right” (</w:t>
      </w:r>
      <w:hyperlink r:id="rId23" w:history="1">
        <w:r w:rsidR="007D147D" w:rsidRPr="00522705">
          <w:rPr>
            <w:rStyle w:val="Hyperlink"/>
            <w:rFonts w:ascii="Arial" w:hAnsi="Arial" w:cs="Arial"/>
            <w:i/>
            <w:sz w:val="24"/>
          </w:rPr>
          <w:t>Tūhoe</w:t>
        </w:r>
      </w:hyperlink>
      <w:r w:rsidR="007D147D">
        <w:rPr>
          <w:rFonts w:ascii="Arial" w:hAnsi="Arial" w:cs="Arial"/>
          <w:color w:val="auto"/>
          <w:sz w:val="24"/>
        </w:rPr>
        <w:t>).</w:t>
      </w:r>
    </w:p>
    <w:p w14:paraId="5B423C7E" w14:textId="5298E03C" w:rsidR="00271A37" w:rsidRPr="00522705" w:rsidRDefault="00A96543" w:rsidP="00271A37">
      <w:pPr>
        <w:pStyle w:val="Box"/>
        <w:spacing w:line="276" w:lineRule="auto"/>
        <w:rPr>
          <w:rFonts w:ascii="Arial" w:hAnsi="Arial" w:cs="Arial"/>
          <w:color w:val="auto"/>
          <w:sz w:val="24"/>
        </w:rPr>
      </w:pPr>
      <w:r>
        <w:rPr>
          <w:rFonts w:ascii="Arial" w:hAnsi="Arial" w:cs="Arial"/>
          <w:color w:val="auto"/>
          <w:sz w:val="24"/>
        </w:rPr>
        <w:t>The T</w:t>
      </w:r>
      <w:r w:rsidRPr="00176F3F">
        <w:rPr>
          <w:rFonts w:ascii="Arial" w:hAnsi="Arial" w:cs="Arial"/>
          <w:color w:val="auto"/>
          <w:sz w:val="24"/>
        </w:rPr>
        <w:t>ū</w:t>
      </w:r>
      <w:r>
        <w:rPr>
          <w:rFonts w:ascii="Arial" w:hAnsi="Arial" w:cs="Arial"/>
          <w:color w:val="auto"/>
          <w:sz w:val="24"/>
        </w:rPr>
        <w:t xml:space="preserve">hoe designed and built </w:t>
      </w:r>
      <w:r w:rsidR="00DB6D3E">
        <w:rPr>
          <w:rFonts w:ascii="Arial" w:hAnsi="Arial" w:cs="Arial"/>
          <w:color w:val="auto"/>
          <w:sz w:val="24"/>
        </w:rPr>
        <w:t xml:space="preserve">Te Kura Whare </w:t>
      </w:r>
      <w:r w:rsidR="007D147D">
        <w:rPr>
          <w:rFonts w:ascii="Arial" w:hAnsi="Arial" w:cs="Arial"/>
          <w:color w:val="auto"/>
          <w:sz w:val="24"/>
        </w:rPr>
        <w:t>during the</w:t>
      </w:r>
      <w:r>
        <w:rPr>
          <w:rFonts w:ascii="Arial" w:hAnsi="Arial" w:cs="Arial"/>
          <w:color w:val="auto"/>
          <w:sz w:val="24"/>
        </w:rPr>
        <w:t xml:space="preserve">ir </w:t>
      </w:r>
      <w:r w:rsidR="007D147D">
        <w:rPr>
          <w:rFonts w:ascii="Arial" w:hAnsi="Arial" w:cs="Arial"/>
          <w:color w:val="auto"/>
          <w:sz w:val="24"/>
        </w:rPr>
        <w:t>negotiations with the Crown. A community headquarters, tribal archive, and a public meeting center, Te Kura Whare opened its doors in December 2014, just months after the settlement took effect.</w:t>
      </w:r>
    </w:p>
    <w:p w14:paraId="256F27CA" w14:textId="7CBBB51C" w:rsidR="00B2773C" w:rsidRPr="00CF6249" w:rsidRDefault="00B2773C" w:rsidP="00CF6249">
      <w:pPr>
        <w:pStyle w:val="Box"/>
        <w:spacing w:line="276" w:lineRule="auto"/>
        <w:rPr>
          <w:rFonts w:ascii="Georgia" w:hAnsi="Georgia" w:cs="Arial"/>
          <w:b/>
          <w:color w:val="auto"/>
          <w:sz w:val="32"/>
          <w:szCs w:val="32"/>
        </w:rPr>
      </w:pPr>
      <w:bookmarkStart w:id="1" w:name="_Hlk489355988"/>
      <w:r w:rsidRPr="00CF6249">
        <w:rPr>
          <w:rFonts w:ascii="Georgia" w:hAnsi="Georgia" w:cs="Arial"/>
          <w:b/>
          <w:color w:val="auto"/>
          <w:sz w:val="32"/>
          <w:szCs w:val="32"/>
        </w:rPr>
        <w:t>Gallery Walk Discussion</w:t>
      </w:r>
      <w:r w:rsidR="007D147D" w:rsidRPr="00CF6249">
        <w:rPr>
          <w:rFonts w:ascii="Georgia" w:hAnsi="Georgia" w:cs="Arial"/>
          <w:b/>
          <w:color w:val="auto"/>
          <w:sz w:val="32"/>
          <w:szCs w:val="32"/>
        </w:rPr>
        <w:t xml:space="preserve"> and Essay Preparation</w:t>
      </w:r>
    </w:p>
    <w:p w14:paraId="4C53FDC6" w14:textId="5DA2495B" w:rsidR="00712D81" w:rsidRPr="00712D81" w:rsidRDefault="00F53EB2" w:rsidP="00CF6249">
      <w:pPr>
        <w:pStyle w:val="ListParagraph"/>
        <w:numPr>
          <w:ilvl w:val="0"/>
          <w:numId w:val="32"/>
        </w:numPr>
        <w:spacing w:after="120" w:line="288" w:lineRule="auto"/>
        <w:ind w:left="720"/>
        <w:contextualSpacing w:val="0"/>
        <w:outlineLvl w:val="0"/>
        <w:rPr>
          <w:rFonts w:ascii="Arial" w:hAnsi="Arial" w:cs="Arial"/>
          <w:color w:val="auto"/>
          <w:sz w:val="24"/>
        </w:rPr>
      </w:pPr>
      <w:r w:rsidRPr="00712D81">
        <w:rPr>
          <w:rFonts w:ascii="Arial" w:hAnsi="Arial" w:cs="Arial"/>
          <w:color w:val="auto"/>
          <w:sz w:val="24"/>
        </w:rPr>
        <w:t>Compose</w:t>
      </w:r>
      <w:r w:rsidR="007D147D" w:rsidRPr="00712D81">
        <w:rPr>
          <w:rFonts w:ascii="Arial" w:hAnsi="Arial" w:cs="Arial"/>
          <w:color w:val="auto"/>
          <w:sz w:val="24"/>
        </w:rPr>
        <w:t xml:space="preserve"> 4</w:t>
      </w:r>
      <w:r w:rsidR="000D2265">
        <w:rPr>
          <w:rFonts w:ascii="Arial" w:hAnsi="Arial" w:cs="Arial"/>
          <w:color w:val="auto"/>
          <w:sz w:val="24"/>
        </w:rPr>
        <w:t>-</w:t>
      </w:r>
      <w:r w:rsidR="007D147D" w:rsidRPr="00712D81">
        <w:rPr>
          <w:rFonts w:ascii="Arial" w:hAnsi="Arial" w:cs="Arial"/>
          <w:color w:val="auto"/>
          <w:sz w:val="24"/>
        </w:rPr>
        <w:t>5 questions that consider different aspects of equity, sustainable communities, reparations, and the built environment</w:t>
      </w:r>
      <w:r w:rsidR="000865B1">
        <w:rPr>
          <w:rFonts w:ascii="Arial" w:hAnsi="Arial" w:cs="Arial"/>
          <w:color w:val="auto"/>
          <w:sz w:val="24"/>
        </w:rPr>
        <w:t>. These question</w:t>
      </w:r>
      <w:r w:rsidR="000D2265">
        <w:rPr>
          <w:rFonts w:ascii="Arial" w:hAnsi="Arial" w:cs="Arial"/>
          <w:color w:val="auto"/>
          <w:sz w:val="24"/>
        </w:rPr>
        <w:t>s</w:t>
      </w:r>
      <w:r w:rsidR="000865B1">
        <w:rPr>
          <w:rFonts w:ascii="Arial" w:hAnsi="Arial" w:cs="Arial"/>
          <w:color w:val="auto"/>
          <w:sz w:val="24"/>
        </w:rPr>
        <w:t xml:space="preserve"> should help students prepare </w:t>
      </w:r>
      <w:r w:rsidR="007D147D" w:rsidRPr="00712D81">
        <w:rPr>
          <w:rFonts w:ascii="Arial" w:hAnsi="Arial" w:cs="Arial"/>
          <w:color w:val="auto"/>
          <w:sz w:val="24"/>
        </w:rPr>
        <w:t xml:space="preserve">an argument for their written assignment. Here are 4 suggested questions: </w:t>
      </w:r>
    </w:p>
    <w:p w14:paraId="3571E6EB" w14:textId="7A550CA3" w:rsidR="00F53EB2" w:rsidRPr="00712D81" w:rsidRDefault="00F53EB2" w:rsidP="00CF6249">
      <w:pPr>
        <w:pStyle w:val="ListParagraph"/>
        <w:numPr>
          <w:ilvl w:val="0"/>
          <w:numId w:val="31"/>
        </w:numPr>
        <w:spacing w:before="400" w:after="240" w:line="288" w:lineRule="auto"/>
        <w:outlineLvl w:val="0"/>
        <w:rPr>
          <w:rFonts w:ascii="Arial" w:hAnsi="Arial" w:cs="Arial"/>
          <w:color w:val="auto"/>
          <w:sz w:val="24"/>
        </w:rPr>
      </w:pPr>
      <w:r w:rsidRPr="00712D81">
        <w:rPr>
          <w:rFonts w:ascii="Arial" w:hAnsi="Arial" w:cs="Arial"/>
          <w:color w:val="auto"/>
          <w:sz w:val="24"/>
        </w:rPr>
        <w:t xml:space="preserve">Who are the stakeholders of Te Kura Whare? </w:t>
      </w:r>
    </w:p>
    <w:p w14:paraId="0C738953" w14:textId="485B86F4" w:rsidR="00F53EB2" w:rsidRPr="00712D81" w:rsidRDefault="00F53EB2" w:rsidP="00CF6249">
      <w:pPr>
        <w:pStyle w:val="ListParagraph"/>
        <w:numPr>
          <w:ilvl w:val="0"/>
          <w:numId w:val="31"/>
        </w:numPr>
        <w:spacing w:before="400" w:after="240" w:line="288" w:lineRule="auto"/>
        <w:outlineLvl w:val="0"/>
        <w:rPr>
          <w:rFonts w:ascii="Arial" w:hAnsi="Arial" w:cs="Arial"/>
          <w:color w:val="auto"/>
          <w:sz w:val="24"/>
        </w:rPr>
      </w:pPr>
      <w:r w:rsidRPr="00712D81">
        <w:rPr>
          <w:rFonts w:ascii="Arial" w:hAnsi="Arial" w:cs="Arial"/>
          <w:color w:val="auto"/>
          <w:sz w:val="24"/>
        </w:rPr>
        <w:t>What does equity mean for the Tūhoe?</w:t>
      </w:r>
    </w:p>
    <w:p w14:paraId="7DA67CAB" w14:textId="7709A713" w:rsidR="00F53EB2" w:rsidRPr="00712D81" w:rsidRDefault="00F53EB2" w:rsidP="00CF6249">
      <w:pPr>
        <w:pStyle w:val="ListParagraph"/>
        <w:numPr>
          <w:ilvl w:val="0"/>
          <w:numId w:val="31"/>
        </w:numPr>
        <w:spacing w:before="400" w:after="240" w:line="288" w:lineRule="auto"/>
        <w:outlineLvl w:val="0"/>
        <w:rPr>
          <w:rFonts w:ascii="Arial" w:hAnsi="Arial" w:cs="Arial"/>
          <w:color w:val="auto"/>
          <w:sz w:val="24"/>
        </w:rPr>
      </w:pPr>
      <w:r w:rsidRPr="00712D81">
        <w:rPr>
          <w:rFonts w:ascii="Arial" w:hAnsi="Arial" w:cs="Arial"/>
          <w:color w:val="auto"/>
          <w:sz w:val="24"/>
        </w:rPr>
        <w:t>How does the building address the Living Building Equity Petal?</w:t>
      </w:r>
    </w:p>
    <w:p w14:paraId="6DB0C9D4" w14:textId="220B0FC9" w:rsidR="00F53EB2" w:rsidRPr="00712D81" w:rsidRDefault="00F53EB2" w:rsidP="00CF6249">
      <w:pPr>
        <w:pStyle w:val="ListParagraph"/>
        <w:numPr>
          <w:ilvl w:val="0"/>
          <w:numId w:val="31"/>
        </w:numPr>
        <w:spacing w:after="120" w:line="288" w:lineRule="auto"/>
        <w:contextualSpacing w:val="0"/>
        <w:outlineLvl w:val="0"/>
        <w:rPr>
          <w:rFonts w:ascii="Arial" w:hAnsi="Arial" w:cs="Arial"/>
          <w:color w:val="auto"/>
          <w:sz w:val="24"/>
        </w:rPr>
      </w:pPr>
      <w:r w:rsidRPr="00712D81">
        <w:rPr>
          <w:rFonts w:ascii="Arial" w:hAnsi="Arial" w:cs="Arial"/>
          <w:color w:val="auto"/>
          <w:sz w:val="24"/>
        </w:rPr>
        <w:t>How has the film changed your definition of equity?</w:t>
      </w:r>
    </w:p>
    <w:p w14:paraId="239548CB" w14:textId="5E680B06" w:rsidR="00B2773C" w:rsidRPr="007D147D" w:rsidRDefault="00F53EB2" w:rsidP="00CF6249">
      <w:pPr>
        <w:pStyle w:val="ListParagraph"/>
        <w:numPr>
          <w:ilvl w:val="0"/>
          <w:numId w:val="32"/>
        </w:numPr>
        <w:spacing w:after="120" w:line="288" w:lineRule="auto"/>
        <w:ind w:left="720"/>
        <w:contextualSpacing w:val="0"/>
        <w:outlineLvl w:val="0"/>
        <w:rPr>
          <w:rFonts w:ascii="Arial" w:hAnsi="Arial" w:cs="Arial"/>
          <w:color w:val="auto"/>
          <w:sz w:val="24"/>
        </w:rPr>
      </w:pPr>
      <w:r>
        <w:rPr>
          <w:rFonts w:ascii="Arial" w:hAnsi="Arial" w:cs="Arial"/>
          <w:color w:val="auto"/>
          <w:sz w:val="24"/>
        </w:rPr>
        <w:lastRenderedPageBreak/>
        <w:t xml:space="preserve">Start class by spending </w:t>
      </w:r>
      <w:r w:rsidR="00084647" w:rsidRPr="007D147D">
        <w:rPr>
          <w:rFonts w:ascii="Arial" w:hAnsi="Arial" w:cs="Arial"/>
          <w:color w:val="auto"/>
          <w:sz w:val="24"/>
        </w:rPr>
        <w:t>10–15 minutes d</w:t>
      </w:r>
      <w:r w:rsidR="007D147D" w:rsidRPr="007D147D">
        <w:rPr>
          <w:rFonts w:ascii="Arial" w:hAnsi="Arial" w:cs="Arial"/>
          <w:color w:val="auto"/>
          <w:sz w:val="24"/>
        </w:rPr>
        <w:t>iscussing the factual/contextual questions the students brought to class.</w:t>
      </w:r>
    </w:p>
    <w:p w14:paraId="587BBC05" w14:textId="67065696" w:rsidR="00F53EB2" w:rsidRDefault="00F53EB2" w:rsidP="00CF6249">
      <w:pPr>
        <w:pStyle w:val="ListParagraph"/>
        <w:numPr>
          <w:ilvl w:val="0"/>
          <w:numId w:val="32"/>
        </w:numPr>
        <w:spacing w:after="120" w:line="288" w:lineRule="auto"/>
        <w:ind w:left="720"/>
        <w:contextualSpacing w:val="0"/>
        <w:outlineLvl w:val="0"/>
        <w:rPr>
          <w:rFonts w:ascii="Arial" w:hAnsi="Arial" w:cs="Arial"/>
          <w:color w:val="auto"/>
          <w:sz w:val="24"/>
        </w:rPr>
      </w:pPr>
      <w:r>
        <w:rPr>
          <w:rFonts w:ascii="Arial" w:hAnsi="Arial" w:cs="Arial"/>
          <w:color w:val="auto"/>
          <w:sz w:val="24"/>
        </w:rPr>
        <w:t>Post your equity prompts around the room.</w:t>
      </w:r>
    </w:p>
    <w:p w14:paraId="389658FB" w14:textId="59936A19" w:rsidR="007D147D" w:rsidRDefault="007D147D" w:rsidP="00CF6249">
      <w:pPr>
        <w:pStyle w:val="ListParagraph"/>
        <w:numPr>
          <w:ilvl w:val="0"/>
          <w:numId w:val="32"/>
        </w:numPr>
        <w:spacing w:after="120" w:line="288" w:lineRule="auto"/>
        <w:ind w:left="720"/>
        <w:contextualSpacing w:val="0"/>
        <w:outlineLvl w:val="0"/>
        <w:rPr>
          <w:rFonts w:ascii="Arial" w:hAnsi="Arial" w:cs="Arial"/>
          <w:color w:val="auto"/>
          <w:sz w:val="24"/>
        </w:rPr>
      </w:pPr>
      <w:r>
        <w:rPr>
          <w:rFonts w:ascii="Arial" w:hAnsi="Arial" w:cs="Arial"/>
          <w:color w:val="auto"/>
          <w:sz w:val="24"/>
        </w:rPr>
        <w:t>Give students 20 minutes to meander around the class</w:t>
      </w:r>
      <w:r w:rsidR="00377EA4">
        <w:rPr>
          <w:rFonts w:ascii="Arial" w:hAnsi="Arial" w:cs="Arial"/>
          <w:color w:val="auto"/>
          <w:sz w:val="24"/>
        </w:rPr>
        <w:t xml:space="preserve"> (as if it were a gallery)</w:t>
      </w:r>
      <w:r>
        <w:rPr>
          <w:rFonts w:ascii="Arial" w:hAnsi="Arial" w:cs="Arial"/>
          <w:color w:val="auto"/>
          <w:sz w:val="24"/>
        </w:rPr>
        <w:t xml:space="preserve">, discussing the questions posted on the walls/chalkboards/dry-erase boards with those who happen to be standing next to them. </w:t>
      </w:r>
    </w:p>
    <w:p w14:paraId="79349E04" w14:textId="20E32691" w:rsidR="00F53EB2" w:rsidRDefault="00F53EB2" w:rsidP="00CF6249">
      <w:pPr>
        <w:pStyle w:val="ListParagraph"/>
        <w:numPr>
          <w:ilvl w:val="0"/>
          <w:numId w:val="32"/>
        </w:numPr>
        <w:spacing w:after="120" w:line="288" w:lineRule="auto"/>
        <w:ind w:left="720"/>
        <w:contextualSpacing w:val="0"/>
        <w:outlineLvl w:val="0"/>
        <w:rPr>
          <w:rFonts w:ascii="Arial" w:hAnsi="Arial" w:cs="Arial"/>
          <w:color w:val="auto"/>
          <w:sz w:val="24"/>
        </w:rPr>
      </w:pPr>
      <w:r>
        <w:rPr>
          <w:rFonts w:ascii="Arial" w:hAnsi="Arial" w:cs="Arial"/>
          <w:color w:val="auto"/>
          <w:sz w:val="24"/>
        </w:rPr>
        <w:t xml:space="preserve">Spend 10 minutes synthesizing the collective insights from the gallery walk. </w:t>
      </w:r>
    </w:p>
    <w:p w14:paraId="075A28A3" w14:textId="2DA644CE" w:rsidR="00377EA4" w:rsidRPr="007D147D" w:rsidRDefault="00377EA4" w:rsidP="00CF6249">
      <w:pPr>
        <w:pStyle w:val="ListParagraph"/>
        <w:numPr>
          <w:ilvl w:val="0"/>
          <w:numId w:val="32"/>
        </w:numPr>
        <w:spacing w:after="120" w:line="288" w:lineRule="auto"/>
        <w:ind w:left="720"/>
        <w:contextualSpacing w:val="0"/>
        <w:outlineLvl w:val="0"/>
        <w:rPr>
          <w:rFonts w:ascii="Arial" w:hAnsi="Arial" w:cs="Arial"/>
          <w:color w:val="auto"/>
          <w:sz w:val="24"/>
        </w:rPr>
      </w:pPr>
      <w:r>
        <w:rPr>
          <w:rFonts w:ascii="Arial" w:hAnsi="Arial" w:cs="Arial"/>
          <w:color w:val="auto"/>
          <w:sz w:val="24"/>
        </w:rPr>
        <w:t>Read the blog post prompt and give students 10</w:t>
      </w:r>
      <w:r w:rsidR="000D2265">
        <w:rPr>
          <w:rFonts w:ascii="Arial" w:hAnsi="Arial" w:cs="Arial"/>
          <w:color w:val="auto"/>
          <w:sz w:val="24"/>
        </w:rPr>
        <w:t>-</w:t>
      </w:r>
      <w:r>
        <w:rPr>
          <w:rFonts w:ascii="Arial" w:hAnsi="Arial" w:cs="Arial"/>
          <w:color w:val="auto"/>
          <w:sz w:val="24"/>
        </w:rPr>
        <w:t>15 minutes to free-write or outline their response.</w:t>
      </w:r>
    </w:p>
    <w:p w14:paraId="2E7DEC48" w14:textId="3C1B9710" w:rsidR="00B2773C" w:rsidRPr="00CF6249" w:rsidRDefault="000865B1" w:rsidP="00CF6249">
      <w:pPr>
        <w:spacing w:before="240" w:after="240" w:line="288" w:lineRule="auto"/>
        <w:outlineLvl w:val="0"/>
        <w:rPr>
          <w:rFonts w:ascii="Georgia" w:eastAsia="Calibri" w:hAnsi="Georgia" w:cs="Arial"/>
          <w:b/>
          <w:color w:val="auto"/>
          <w:sz w:val="32"/>
          <w:szCs w:val="32"/>
        </w:rPr>
      </w:pPr>
      <w:r w:rsidRPr="00CF6249">
        <w:rPr>
          <w:rFonts w:ascii="Georgia" w:eastAsia="Calibri" w:hAnsi="Georgia" w:cs="Arial"/>
          <w:b/>
          <w:noProof/>
          <w:color w:val="auto"/>
          <w:sz w:val="32"/>
          <w:szCs w:val="32"/>
        </w:rPr>
        <w:t>Mu</w:t>
      </w:r>
      <w:r w:rsidR="00CF6249" w:rsidRPr="00CF6249">
        <w:rPr>
          <w:rFonts w:ascii="Georgia" w:eastAsia="Calibri" w:hAnsi="Georgia" w:cs="Arial"/>
          <w:b/>
          <w:noProof/>
          <w:color w:val="auto"/>
          <w:sz w:val="32"/>
          <w:szCs w:val="32"/>
        </w:rPr>
        <w:t>lt</w:t>
      </w:r>
      <w:r w:rsidRPr="00CF6249">
        <w:rPr>
          <w:rFonts w:ascii="Georgia" w:eastAsia="Calibri" w:hAnsi="Georgia" w:cs="Arial"/>
          <w:b/>
          <w:noProof/>
          <w:color w:val="auto"/>
          <w:sz w:val="32"/>
          <w:szCs w:val="32"/>
        </w:rPr>
        <w:t>imodal Writing Reflection</w:t>
      </w:r>
    </w:p>
    <w:p w14:paraId="2495AB5F" w14:textId="77777777" w:rsidR="00CF6249" w:rsidRDefault="006729A9" w:rsidP="00712D81">
      <w:pPr>
        <w:shd w:val="clear" w:color="auto" w:fill="FFFFFF"/>
        <w:spacing w:before="240" w:after="240" w:line="288" w:lineRule="auto"/>
        <w:rPr>
          <w:rFonts w:ascii="Arial" w:hAnsi="Arial" w:cs="Arial"/>
          <w:color w:val="auto"/>
          <w:sz w:val="24"/>
        </w:rPr>
      </w:pPr>
      <w:r>
        <w:rPr>
          <w:rFonts w:ascii="Arial" w:hAnsi="Arial" w:cs="Arial"/>
          <w:color w:val="auto"/>
          <w:sz w:val="24"/>
        </w:rPr>
        <w:t xml:space="preserve">Here are two sample prompts to follow the class discussion of </w:t>
      </w:r>
      <w:r>
        <w:rPr>
          <w:rFonts w:ascii="Arial" w:hAnsi="Arial" w:cs="Arial"/>
          <w:i/>
          <w:color w:val="auto"/>
          <w:sz w:val="24"/>
        </w:rPr>
        <w:t>Ever the Land.</w:t>
      </w:r>
      <w:r w:rsidR="000865B1">
        <w:rPr>
          <w:rFonts w:ascii="Arial" w:hAnsi="Arial" w:cs="Arial"/>
          <w:color w:val="auto"/>
          <w:sz w:val="24"/>
        </w:rPr>
        <w:t xml:space="preserve"> Students should use one of these prompts to draft a multimodal writing reflection. </w:t>
      </w:r>
    </w:p>
    <w:p w14:paraId="1CDC13B6" w14:textId="3860F62F" w:rsidR="00CF6249" w:rsidRPr="00CF6249" w:rsidRDefault="00CF6249" w:rsidP="00CF6249">
      <w:pPr>
        <w:shd w:val="clear" w:color="auto" w:fill="FFFFFF"/>
        <w:spacing w:before="240" w:after="240" w:line="288" w:lineRule="auto"/>
        <w:rPr>
          <w:rFonts w:ascii="Arial" w:hAnsi="Arial" w:cs="Arial"/>
          <w:color w:val="auto"/>
          <w:sz w:val="24"/>
        </w:rPr>
      </w:pPr>
      <w:r>
        <w:rPr>
          <w:rFonts w:ascii="Arial" w:hAnsi="Arial" w:cs="Arial"/>
          <w:color w:val="auto"/>
          <w:sz w:val="24"/>
        </w:rPr>
        <w:t>One way to do this is through a blog posting. You can c</w:t>
      </w:r>
      <w:r w:rsidRPr="00CF6249">
        <w:rPr>
          <w:rFonts w:ascii="Arial" w:hAnsi="Arial" w:cs="Arial"/>
          <w:color w:val="auto"/>
          <w:sz w:val="24"/>
        </w:rPr>
        <w:t xml:space="preserve">reate a WordPress blog site for the students’ multimedia posts by signing into the Ivan Allen College WordPress dashboard </w:t>
      </w:r>
      <w:hyperlink r:id="rId24" w:history="1">
        <w:r w:rsidRPr="00CF6249">
          <w:rPr>
            <w:rStyle w:val="Hyperlink"/>
            <w:rFonts w:ascii="Arial" w:hAnsi="Arial" w:cs="Arial"/>
            <w:sz w:val="24"/>
          </w:rPr>
          <w:t>here</w:t>
        </w:r>
      </w:hyperlink>
      <w:r w:rsidRPr="00CF6249">
        <w:rPr>
          <w:rFonts w:ascii="Arial" w:hAnsi="Arial" w:cs="Arial"/>
          <w:color w:val="auto"/>
          <w:sz w:val="24"/>
        </w:rPr>
        <w:t xml:space="preserve">. Click the “My Sites” option at the left of the topmost navigation menu and click “Add New.” </w:t>
      </w:r>
    </w:p>
    <w:p w14:paraId="41ECE96F" w14:textId="4F3F0BAF" w:rsidR="00CF6249" w:rsidRPr="00CF6249" w:rsidRDefault="00747EA3" w:rsidP="00CF6249">
      <w:pPr>
        <w:shd w:val="clear" w:color="auto" w:fill="FFFFFF"/>
        <w:spacing w:before="240" w:after="240" w:line="288" w:lineRule="auto"/>
        <w:rPr>
          <w:rFonts w:ascii="Arial" w:hAnsi="Arial" w:cs="Arial"/>
          <w:color w:val="auto"/>
          <w:sz w:val="24"/>
        </w:rPr>
      </w:pPr>
      <w:r>
        <w:rPr>
          <w:rFonts w:ascii="Arial" w:hAnsi="Arial" w:cs="Arial"/>
          <w:color w:val="auto"/>
          <w:sz w:val="24"/>
        </w:rPr>
        <w:t>Y</w:t>
      </w:r>
      <w:r w:rsidR="00CF6249" w:rsidRPr="00CF6249">
        <w:rPr>
          <w:rFonts w:ascii="Arial" w:hAnsi="Arial" w:cs="Arial"/>
          <w:color w:val="auto"/>
          <w:sz w:val="24"/>
        </w:rPr>
        <w:t xml:space="preserve">ou can </w:t>
      </w:r>
      <w:r>
        <w:rPr>
          <w:rFonts w:ascii="Arial" w:hAnsi="Arial" w:cs="Arial"/>
          <w:color w:val="auto"/>
          <w:sz w:val="24"/>
        </w:rPr>
        <w:t xml:space="preserve">also </w:t>
      </w:r>
      <w:r w:rsidR="00CF6249" w:rsidRPr="00CF6249">
        <w:rPr>
          <w:rFonts w:ascii="Arial" w:hAnsi="Arial" w:cs="Arial"/>
          <w:color w:val="auto"/>
          <w:sz w:val="24"/>
        </w:rPr>
        <w:t>ask your students to make a multimedia essay by embedding screen shot</w:t>
      </w:r>
      <w:r w:rsidR="000D2265">
        <w:rPr>
          <w:rFonts w:ascii="Arial" w:hAnsi="Arial" w:cs="Arial"/>
          <w:color w:val="auto"/>
          <w:sz w:val="24"/>
        </w:rPr>
        <w:t>s</w:t>
      </w:r>
      <w:r w:rsidR="00CF6249" w:rsidRPr="00CF6249">
        <w:rPr>
          <w:rFonts w:ascii="Arial" w:hAnsi="Arial" w:cs="Arial"/>
          <w:color w:val="auto"/>
          <w:sz w:val="24"/>
        </w:rPr>
        <w:t xml:space="preserve"> from the film in a traditional word-processing software document (Word, Pages, etc.). Require students to include a brief explanatory caption </w:t>
      </w:r>
      <w:r w:rsidR="000D2265">
        <w:rPr>
          <w:rFonts w:ascii="Arial" w:hAnsi="Arial" w:cs="Arial"/>
          <w:color w:val="auto"/>
          <w:sz w:val="24"/>
        </w:rPr>
        <w:t xml:space="preserve">for any </w:t>
      </w:r>
      <w:r w:rsidR="00CF6249" w:rsidRPr="00CF6249">
        <w:rPr>
          <w:rFonts w:ascii="Arial" w:hAnsi="Arial" w:cs="Arial"/>
          <w:color w:val="auto"/>
          <w:sz w:val="24"/>
        </w:rPr>
        <w:t>screenshot</w:t>
      </w:r>
      <w:r w:rsidR="000D2265">
        <w:rPr>
          <w:rFonts w:ascii="Arial" w:hAnsi="Arial" w:cs="Arial"/>
          <w:color w:val="auto"/>
          <w:sz w:val="24"/>
        </w:rPr>
        <w:t>s</w:t>
      </w:r>
      <w:r w:rsidR="00CF6249" w:rsidRPr="00CF6249">
        <w:rPr>
          <w:rFonts w:ascii="Arial" w:hAnsi="Arial" w:cs="Arial"/>
          <w:color w:val="auto"/>
          <w:sz w:val="24"/>
        </w:rPr>
        <w:t>.</w:t>
      </w:r>
    </w:p>
    <w:p w14:paraId="5CA33A1D" w14:textId="77777777" w:rsidR="00434734" w:rsidRPr="00CF6249" w:rsidRDefault="00434734" w:rsidP="00712D81">
      <w:pPr>
        <w:shd w:val="clear" w:color="auto" w:fill="FFFFFF"/>
        <w:spacing w:before="240" w:after="240" w:line="288" w:lineRule="auto"/>
        <w:rPr>
          <w:rFonts w:ascii="Georgia" w:hAnsi="Georgia" w:cs="Arial"/>
          <w:b/>
          <w:color w:val="auto"/>
          <w:sz w:val="28"/>
          <w:szCs w:val="28"/>
        </w:rPr>
      </w:pPr>
      <w:r w:rsidRPr="00CF6249">
        <w:rPr>
          <w:rFonts w:ascii="Georgia" w:hAnsi="Georgia" w:cs="Arial"/>
          <w:b/>
          <w:color w:val="auto"/>
          <w:sz w:val="28"/>
          <w:szCs w:val="28"/>
        </w:rPr>
        <w:t>Sample Prompt A</w:t>
      </w:r>
    </w:p>
    <w:p w14:paraId="7CF94BB7" w14:textId="34381790" w:rsidR="00434734" w:rsidRPr="00434734" w:rsidRDefault="006729A9" w:rsidP="000865B1">
      <w:pPr>
        <w:shd w:val="clear" w:color="auto" w:fill="FFFFFF"/>
        <w:spacing w:after="120" w:line="288" w:lineRule="auto"/>
        <w:rPr>
          <w:rFonts w:ascii="Arial" w:hAnsi="Arial" w:cs="Arial"/>
          <w:color w:val="auto"/>
          <w:sz w:val="24"/>
        </w:rPr>
      </w:pPr>
      <w:r>
        <w:rPr>
          <w:rFonts w:ascii="Arial" w:hAnsi="Arial" w:cs="Arial"/>
          <w:color w:val="auto"/>
          <w:sz w:val="24"/>
        </w:rPr>
        <w:t xml:space="preserve">You have now watched </w:t>
      </w:r>
      <w:r w:rsidR="00434734" w:rsidRPr="00434734">
        <w:rPr>
          <w:rFonts w:ascii="Arial" w:hAnsi="Arial" w:cs="Arial"/>
          <w:i/>
          <w:iCs/>
          <w:color w:val="auto"/>
          <w:sz w:val="24"/>
        </w:rPr>
        <w:t>Ever the Land, </w:t>
      </w:r>
      <w:r w:rsidR="003D41B3">
        <w:rPr>
          <w:rFonts w:ascii="Arial" w:hAnsi="Arial" w:cs="Arial"/>
          <w:color w:val="auto"/>
          <w:sz w:val="24"/>
        </w:rPr>
        <w:t>a film about Te Kura Whare, the tribal headquarters of the indigenous T</w:t>
      </w:r>
      <w:r w:rsidR="003D41B3" w:rsidRPr="00176F3F">
        <w:rPr>
          <w:rFonts w:ascii="Arial" w:hAnsi="Arial" w:cs="Arial"/>
          <w:color w:val="auto"/>
          <w:sz w:val="24"/>
        </w:rPr>
        <w:t>ū</w:t>
      </w:r>
      <w:r w:rsidR="003D41B3">
        <w:rPr>
          <w:rFonts w:ascii="Arial" w:hAnsi="Arial" w:cs="Arial"/>
          <w:color w:val="auto"/>
          <w:sz w:val="24"/>
        </w:rPr>
        <w:t xml:space="preserve">hoe people and </w:t>
      </w:r>
      <w:r>
        <w:rPr>
          <w:rFonts w:ascii="Arial" w:hAnsi="Arial" w:cs="Arial"/>
          <w:color w:val="auto"/>
          <w:sz w:val="24"/>
        </w:rPr>
        <w:t>the first certified</w:t>
      </w:r>
      <w:r w:rsidR="00434734" w:rsidRPr="00434734">
        <w:rPr>
          <w:rFonts w:ascii="Arial" w:hAnsi="Arial" w:cs="Arial"/>
          <w:color w:val="auto"/>
          <w:sz w:val="24"/>
        </w:rPr>
        <w:t xml:space="preserve"> Living Building in New Zealand</w:t>
      </w:r>
      <w:r w:rsidR="003D41B3">
        <w:rPr>
          <w:rFonts w:ascii="Arial" w:hAnsi="Arial" w:cs="Arial"/>
          <w:color w:val="auto"/>
          <w:sz w:val="24"/>
        </w:rPr>
        <w:t>. In class you have considered and discussed several questions about how that building addresses specific equity and sustainability objectives for its stakeholders.</w:t>
      </w:r>
    </w:p>
    <w:p w14:paraId="179AA589" w14:textId="1F2E8BC3" w:rsidR="00434734" w:rsidRDefault="003D41B3" w:rsidP="000865B1">
      <w:pPr>
        <w:shd w:val="clear" w:color="auto" w:fill="FFFFFF"/>
        <w:spacing w:after="120" w:line="288" w:lineRule="auto"/>
        <w:rPr>
          <w:rFonts w:ascii="Arial" w:hAnsi="Arial" w:cs="Arial"/>
          <w:color w:val="auto"/>
          <w:sz w:val="24"/>
        </w:rPr>
      </w:pPr>
      <w:r>
        <w:rPr>
          <w:rFonts w:ascii="Arial" w:hAnsi="Arial" w:cs="Arial"/>
          <w:color w:val="auto"/>
          <w:sz w:val="24"/>
        </w:rPr>
        <w:t xml:space="preserve">Write a </w:t>
      </w:r>
      <w:r w:rsidR="00434734" w:rsidRPr="00434734">
        <w:rPr>
          <w:rFonts w:ascii="Arial" w:hAnsi="Arial" w:cs="Arial"/>
          <w:color w:val="auto"/>
          <w:sz w:val="24"/>
        </w:rPr>
        <w:t>300-word blog post about how you have revised or refined</w:t>
      </w:r>
      <w:r>
        <w:rPr>
          <w:rFonts w:ascii="Arial" w:hAnsi="Arial" w:cs="Arial"/>
          <w:color w:val="auto"/>
          <w:sz w:val="24"/>
        </w:rPr>
        <w:t xml:space="preserve"> your definition of equity based on the events and decisions you witness in the film. Review the film, taking down relevant and exemplary quotes </w:t>
      </w:r>
      <w:r w:rsidRPr="00434734">
        <w:rPr>
          <w:rFonts w:ascii="Arial" w:hAnsi="Arial" w:cs="Arial"/>
          <w:color w:val="auto"/>
          <w:sz w:val="24"/>
        </w:rPr>
        <w:t xml:space="preserve">that </w:t>
      </w:r>
      <w:r>
        <w:rPr>
          <w:rFonts w:ascii="Arial" w:hAnsi="Arial" w:cs="Arial"/>
          <w:color w:val="auto"/>
          <w:sz w:val="24"/>
        </w:rPr>
        <w:t xml:space="preserve">justify, or warrant, your revised definition. </w:t>
      </w:r>
      <w:r w:rsidR="00434734" w:rsidRPr="00434734">
        <w:rPr>
          <w:rFonts w:ascii="Arial" w:hAnsi="Arial" w:cs="Arial"/>
          <w:color w:val="auto"/>
          <w:sz w:val="24"/>
        </w:rPr>
        <w:t xml:space="preserve">Incorporate and attribute </w:t>
      </w:r>
      <w:r>
        <w:rPr>
          <w:rFonts w:ascii="Arial" w:hAnsi="Arial" w:cs="Arial"/>
          <w:color w:val="auto"/>
          <w:sz w:val="24"/>
        </w:rPr>
        <w:t xml:space="preserve">the most </w:t>
      </w:r>
      <w:r w:rsidR="00434734" w:rsidRPr="00434734">
        <w:rPr>
          <w:rFonts w:ascii="Arial" w:hAnsi="Arial" w:cs="Arial"/>
          <w:color w:val="auto"/>
          <w:sz w:val="24"/>
        </w:rPr>
        <w:t>relevant quotations</w:t>
      </w:r>
      <w:r>
        <w:rPr>
          <w:rFonts w:ascii="Arial" w:hAnsi="Arial" w:cs="Arial"/>
          <w:color w:val="auto"/>
          <w:sz w:val="24"/>
        </w:rPr>
        <w:t xml:space="preserve"> into your blog post.</w:t>
      </w:r>
    </w:p>
    <w:p w14:paraId="009EDEB4" w14:textId="45CC3AF1" w:rsidR="0058377C" w:rsidRPr="00434734" w:rsidRDefault="00434734" w:rsidP="000865B1">
      <w:pPr>
        <w:pStyle w:val="NormalWeb"/>
        <w:shd w:val="clear" w:color="auto" w:fill="FFFFFF"/>
        <w:spacing w:before="0" w:beforeAutospacing="0" w:after="120" w:afterAutospacing="0" w:line="288" w:lineRule="auto"/>
        <w:textAlignment w:val="baseline"/>
        <w:rPr>
          <w:rFonts w:ascii="Arial" w:hAnsi="Arial" w:cs="Arial"/>
        </w:rPr>
      </w:pPr>
      <w:r w:rsidRPr="00434734">
        <w:rPr>
          <w:rFonts w:ascii="Arial" w:hAnsi="Arial" w:cs="Arial"/>
        </w:rPr>
        <w:t xml:space="preserve">You must have a clear claim about how </w:t>
      </w:r>
      <w:r w:rsidR="001E24A6">
        <w:rPr>
          <w:rFonts w:ascii="Arial" w:hAnsi="Arial" w:cs="Arial"/>
        </w:rPr>
        <w:t xml:space="preserve">this film has revised or refined </w:t>
      </w:r>
      <w:r w:rsidRPr="00434734">
        <w:rPr>
          <w:rFonts w:ascii="Arial" w:hAnsi="Arial" w:cs="Arial"/>
        </w:rPr>
        <w:t>your understanding of equity, as well</w:t>
      </w:r>
      <w:r w:rsidR="003D41B3">
        <w:rPr>
          <w:rFonts w:ascii="Arial" w:hAnsi="Arial" w:cs="Arial"/>
        </w:rPr>
        <w:t xml:space="preserve"> as relevant citations from </w:t>
      </w:r>
      <w:r w:rsidRPr="00434734">
        <w:rPr>
          <w:rFonts w:ascii="Arial" w:hAnsi="Arial" w:cs="Arial"/>
        </w:rPr>
        <w:t xml:space="preserve">the film. </w:t>
      </w:r>
      <w:r w:rsidR="003D41B3">
        <w:rPr>
          <w:rFonts w:ascii="Arial" w:hAnsi="Arial" w:cs="Arial"/>
        </w:rPr>
        <w:t>Include a screen shot with an explanatory caption in your post.</w:t>
      </w:r>
    </w:p>
    <w:p w14:paraId="322ED702" w14:textId="49FB4131" w:rsidR="00434734" w:rsidRPr="00434734" w:rsidRDefault="00434734" w:rsidP="00CF6249">
      <w:pPr>
        <w:shd w:val="clear" w:color="auto" w:fill="FFFFFF"/>
        <w:spacing w:before="240" w:after="240" w:line="288" w:lineRule="auto"/>
        <w:rPr>
          <w:rFonts w:ascii="Arial" w:hAnsi="Arial" w:cs="Arial"/>
          <w:b/>
        </w:rPr>
      </w:pPr>
      <w:r w:rsidRPr="00CF6249">
        <w:rPr>
          <w:rFonts w:ascii="Georgia" w:hAnsi="Georgia" w:cs="Arial"/>
          <w:b/>
          <w:color w:val="auto"/>
          <w:sz w:val="28"/>
          <w:szCs w:val="28"/>
        </w:rPr>
        <w:lastRenderedPageBreak/>
        <w:t>Sample Prompt B</w:t>
      </w:r>
    </w:p>
    <w:p w14:paraId="6AE90A7F" w14:textId="617E3F2E" w:rsidR="004E06DF" w:rsidRPr="00434734" w:rsidRDefault="00C725A8" w:rsidP="000865B1">
      <w:pPr>
        <w:pStyle w:val="NormalWeb"/>
        <w:shd w:val="clear" w:color="auto" w:fill="FFFFFF"/>
        <w:spacing w:before="0" w:beforeAutospacing="0" w:after="120" w:afterAutospacing="0" w:line="288" w:lineRule="auto"/>
        <w:textAlignment w:val="baseline"/>
        <w:rPr>
          <w:rFonts w:ascii="Arial" w:hAnsi="Arial" w:cs="Arial"/>
        </w:rPr>
      </w:pPr>
      <w:r>
        <w:rPr>
          <w:rFonts w:ascii="Arial" w:hAnsi="Arial" w:cs="Arial"/>
        </w:rPr>
        <w:t xml:space="preserve">You have now watched </w:t>
      </w:r>
      <w:r w:rsidRPr="00434734">
        <w:rPr>
          <w:rFonts w:ascii="Arial" w:hAnsi="Arial" w:cs="Arial"/>
          <w:i/>
          <w:iCs/>
        </w:rPr>
        <w:t>Ever the Land, </w:t>
      </w:r>
      <w:r>
        <w:rPr>
          <w:rFonts w:ascii="Arial" w:hAnsi="Arial" w:cs="Arial"/>
        </w:rPr>
        <w:t>a film about Te Kura Whare, the tribal headquarters of the indigenous T</w:t>
      </w:r>
      <w:r w:rsidRPr="00176F3F">
        <w:rPr>
          <w:rFonts w:ascii="Arial" w:hAnsi="Arial" w:cs="Arial"/>
        </w:rPr>
        <w:t>ū</w:t>
      </w:r>
      <w:r>
        <w:rPr>
          <w:rFonts w:ascii="Arial" w:hAnsi="Arial" w:cs="Arial"/>
        </w:rPr>
        <w:t>hoe people and the first certified</w:t>
      </w:r>
      <w:r w:rsidRPr="00434734">
        <w:rPr>
          <w:rFonts w:ascii="Arial" w:hAnsi="Arial" w:cs="Arial"/>
        </w:rPr>
        <w:t xml:space="preserve"> Living Building in New Zealand</w:t>
      </w:r>
      <w:r>
        <w:rPr>
          <w:rFonts w:ascii="Arial" w:hAnsi="Arial" w:cs="Arial"/>
        </w:rPr>
        <w:t>. In class you have considered and discussed several quest</w:t>
      </w:r>
      <w:r w:rsidR="009375EB">
        <w:rPr>
          <w:rFonts w:ascii="Arial" w:hAnsi="Arial" w:cs="Arial"/>
        </w:rPr>
        <w:t xml:space="preserve">ions about how the film portrays </w:t>
      </w:r>
      <w:r>
        <w:rPr>
          <w:rFonts w:ascii="Arial" w:hAnsi="Arial" w:cs="Arial"/>
        </w:rPr>
        <w:t xml:space="preserve">the building’s contributions to equity and sustainability. </w:t>
      </w:r>
    </w:p>
    <w:p w14:paraId="75C4170C" w14:textId="77777777" w:rsidR="00603FF7" w:rsidRDefault="00C725A8" w:rsidP="000865B1">
      <w:pPr>
        <w:pStyle w:val="NormalWeb"/>
        <w:shd w:val="clear" w:color="auto" w:fill="FFFFFF"/>
        <w:spacing w:before="0" w:beforeAutospacing="0" w:after="120" w:afterAutospacing="0" w:line="288" w:lineRule="auto"/>
        <w:textAlignment w:val="baseline"/>
        <w:rPr>
          <w:rFonts w:ascii="Arial" w:hAnsi="Arial" w:cs="Arial"/>
        </w:rPr>
      </w:pPr>
      <w:r>
        <w:rPr>
          <w:rFonts w:ascii="Arial" w:hAnsi="Arial" w:cs="Arial"/>
        </w:rPr>
        <w:t xml:space="preserve">Now write a </w:t>
      </w:r>
      <w:r w:rsidR="004E06DF" w:rsidRPr="00434734">
        <w:rPr>
          <w:rFonts w:ascii="Arial" w:hAnsi="Arial" w:cs="Arial"/>
        </w:rPr>
        <w:t>300-word blog post in which you assert an</w:t>
      </w:r>
      <w:r>
        <w:rPr>
          <w:rFonts w:ascii="Arial" w:hAnsi="Arial" w:cs="Arial"/>
        </w:rPr>
        <w:t>d develop a claim that answers the following question: How does Te Kura Whare</w:t>
      </w:r>
      <w:r w:rsidR="004E06DF" w:rsidRPr="00434734">
        <w:rPr>
          <w:rFonts w:ascii="Arial" w:hAnsi="Arial" w:cs="Arial"/>
        </w:rPr>
        <w:t xml:space="preserve"> address</w:t>
      </w:r>
      <w:r>
        <w:rPr>
          <w:rFonts w:ascii="Arial" w:hAnsi="Arial" w:cs="Arial"/>
        </w:rPr>
        <w:t xml:space="preserve"> the </w:t>
      </w:r>
      <w:r w:rsidR="00603FF7">
        <w:rPr>
          <w:rFonts w:ascii="Arial" w:hAnsi="Arial" w:cs="Arial"/>
        </w:rPr>
        <w:t>T</w:t>
      </w:r>
      <w:r w:rsidR="00603FF7" w:rsidRPr="00176F3F">
        <w:rPr>
          <w:rFonts w:ascii="Arial" w:hAnsi="Arial" w:cs="Arial"/>
        </w:rPr>
        <w:t>ū</w:t>
      </w:r>
      <w:r w:rsidR="00603FF7">
        <w:rPr>
          <w:rFonts w:ascii="Arial" w:hAnsi="Arial" w:cs="Arial"/>
        </w:rPr>
        <w:t>hoe</w:t>
      </w:r>
      <w:r w:rsidR="004E06DF" w:rsidRPr="00434734">
        <w:rPr>
          <w:rFonts w:ascii="Arial" w:hAnsi="Arial" w:cs="Arial"/>
        </w:rPr>
        <w:t>’s definition of equity (</w:t>
      </w:r>
      <w:r w:rsidR="004E06DF" w:rsidRPr="00603FF7">
        <w:rPr>
          <w:rFonts w:ascii="Arial" w:hAnsi="Arial" w:cs="Arial"/>
          <w:i/>
        </w:rPr>
        <w:t>not</w:t>
      </w:r>
      <w:r w:rsidR="00603FF7">
        <w:rPr>
          <w:rFonts w:ascii="Arial" w:hAnsi="Arial" w:cs="Arial"/>
        </w:rPr>
        <w:t xml:space="preserve"> necessarily</w:t>
      </w:r>
      <w:r w:rsidR="004E06DF" w:rsidRPr="00434734">
        <w:rPr>
          <w:rFonts w:ascii="Arial" w:hAnsi="Arial" w:cs="Arial"/>
        </w:rPr>
        <w:t xml:space="preserve"> the</w:t>
      </w:r>
      <w:r w:rsidR="00603FF7">
        <w:rPr>
          <w:rFonts w:ascii="Arial" w:hAnsi="Arial" w:cs="Arial"/>
        </w:rPr>
        <w:t xml:space="preserve"> Living Building Equity Petal). Note that you may also claim that the building does </w:t>
      </w:r>
      <w:r w:rsidR="00603FF7">
        <w:rPr>
          <w:rFonts w:ascii="Arial" w:hAnsi="Arial" w:cs="Arial"/>
          <w:i/>
        </w:rPr>
        <w:t xml:space="preserve">not </w:t>
      </w:r>
      <w:r w:rsidR="00603FF7">
        <w:rPr>
          <w:rFonts w:ascii="Arial" w:hAnsi="Arial" w:cs="Arial"/>
        </w:rPr>
        <w:t>fulfill the T</w:t>
      </w:r>
      <w:r w:rsidR="00603FF7" w:rsidRPr="00176F3F">
        <w:rPr>
          <w:rFonts w:ascii="Arial" w:hAnsi="Arial" w:cs="Arial"/>
        </w:rPr>
        <w:t>ū</w:t>
      </w:r>
      <w:r w:rsidR="00603FF7">
        <w:rPr>
          <w:rFonts w:ascii="Arial" w:hAnsi="Arial" w:cs="Arial"/>
        </w:rPr>
        <w:t>hoe</w:t>
      </w:r>
      <w:r w:rsidR="00603FF7" w:rsidRPr="00434734">
        <w:rPr>
          <w:rFonts w:ascii="Arial" w:hAnsi="Arial" w:cs="Arial"/>
        </w:rPr>
        <w:t>’s definition of equity</w:t>
      </w:r>
      <w:r w:rsidR="00603FF7">
        <w:rPr>
          <w:rFonts w:ascii="Arial" w:hAnsi="Arial" w:cs="Arial"/>
        </w:rPr>
        <w:t>.</w:t>
      </w:r>
      <w:r w:rsidR="004E06DF" w:rsidRPr="00434734">
        <w:rPr>
          <w:rFonts w:ascii="Arial" w:hAnsi="Arial" w:cs="Arial"/>
        </w:rPr>
        <w:t xml:space="preserve"> Note</w:t>
      </w:r>
      <w:r w:rsidR="00603FF7">
        <w:rPr>
          <w:rFonts w:ascii="Arial" w:hAnsi="Arial" w:cs="Arial"/>
        </w:rPr>
        <w:t xml:space="preserve"> also that there</w:t>
      </w:r>
      <w:r w:rsidR="004E06DF" w:rsidRPr="00434734">
        <w:rPr>
          <w:rFonts w:ascii="Arial" w:hAnsi="Arial" w:cs="Arial"/>
        </w:rPr>
        <w:t xml:space="preserve"> may</w:t>
      </w:r>
      <w:r w:rsidR="00603FF7">
        <w:rPr>
          <w:rFonts w:ascii="Arial" w:hAnsi="Arial" w:cs="Arial"/>
        </w:rPr>
        <w:t xml:space="preserve"> be no single T</w:t>
      </w:r>
      <w:r w:rsidR="00603FF7" w:rsidRPr="00176F3F">
        <w:rPr>
          <w:rFonts w:ascii="Arial" w:hAnsi="Arial" w:cs="Arial"/>
        </w:rPr>
        <w:t>ū</w:t>
      </w:r>
      <w:r w:rsidR="00603FF7">
        <w:rPr>
          <w:rFonts w:ascii="Arial" w:hAnsi="Arial" w:cs="Arial"/>
        </w:rPr>
        <w:t>hoe</w:t>
      </w:r>
      <w:r w:rsidR="00603FF7" w:rsidRPr="00434734">
        <w:rPr>
          <w:rFonts w:ascii="Arial" w:hAnsi="Arial" w:cs="Arial"/>
        </w:rPr>
        <w:t xml:space="preserve"> definition of equity</w:t>
      </w:r>
      <w:r w:rsidR="00603FF7">
        <w:rPr>
          <w:rFonts w:ascii="Arial" w:hAnsi="Arial" w:cs="Arial"/>
        </w:rPr>
        <w:t>.</w:t>
      </w:r>
      <w:r w:rsidR="004E06DF" w:rsidRPr="00434734">
        <w:rPr>
          <w:rFonts w:ascii="Arial" w:hAnsi="Arial" w:cs="Arial"/>
        </w:rPr>
        <w:t xml:space="preserve"> </w:t>
      </w:r>
    </w:p>
    <w:p w14:paraId="446BB047" w14:textId="77777777" w:rsidR="00603FF7" w:rsidRDefault="004E06DF" w:rsidP="000865B1">
      <w:pPr>
        <w:pStyle w:val="NormalWeb"/>
        <w:numPr>
          <w:ilvl w:val="0"/>
          <w:numId w:val="34"/>
        </w:numPr>
        <w:shd w:val="clear" w:color="auto" w:fill="FFFFFF"/>
        <w:spacing w:before="0" w:beforeAutospacing="0" w:after="120" w:afterAutospacing="0" w:line="288" w:lineRule="auto"/>
        <w:textAlignment w:val="baseline"/>
        <w:rPr>
          <w:rFonts w:ascii="Arial" w:hAnsi="Arial" w:cs="Arial"/>
        </w:rPr>
      </w:pPr>
      <w:r w:rsidRPr="00434734">
        <w:rPr>
          <w:rFonts w:ascii="Arial" w:hAnsi="Arial" w:cs="Arial"/>
        </w:rPr>
        <w:t>You</w:t>
      </w:r>
      <w:r w:rsidR="00603FF7">
        <w:rPr>
          <w:rFonts w:ascii="Arial" w:hAnsi="Arial" w:cs="Arial"/>
        </w:rPr>
        <w:t>r argument must incorporate your interpretation of</w:t>
      </w:r>
      <w:r w:rsidRPr="00434734">
        <w:rPr>
          <w:rFonts w:ascii="Arial" w:hAnsi="Arial" w:cs="Arial"/>
        </w:rPr>
        <w:t xml:space="preserve"> the</w:t>
      </w:r>
      <w:r w:rsidR="00603FF7" w:rsidRPr="00603FF7">
        <w:rPr>
          <w:rFonts w:ascii="Arial" w:hAnsi="Arial" w:cs="Arial"/>
        </w:rPr>
        <w:t xml:space="preserve"> </w:t>
      </w:r>
      <w:r w:rsidR="00603FF7" w:rsidRPr="00B4538F">
        <w:rPr>
          <w:rFonts w:ascii="Arial" w:hAnsi="Arial" w:cs="Arial"/>
        </w:rPr>
        <w:t>Tūhoe</w:t>
      </w:r>
      <w:r w:rsidR="00603FF7" w:rsidRPr="00434734">
        <w:rPr>
          <w:rFonts w:ascii="Arial" w:hAnsi="Arial" w:cs="Arial"/>
        </w:rPr>
        <w:t>’s definition of equity</w:t>
      </w:r>
      <w:r w:rsidRPr="00434734">
        <w:rPr>
          <w:rFonts w:ascii="Arial" w:hAnsi="Arial" w:cs="Arial"/>
        </w:rPr>
        <w:t xml:space="preserve"> somewhere in your post. </w:t>
      </w:r>
    </w:p>
    <w:p w14:paraId="277EBD6D" w14:textId="4974B579" w:rsidR="004E06DF" w:rsidRPr="00434734" w:rsidRDefault="004E06DF" w:rsidP="000865B1">
      <w:pPr>
        <w:pStyle w:val="NormalWeb"/>
        <w:numPr>
          <w:ilvl w:val="0"/>
          <w:numId w:val="34"/>
        </w:numPr>
        <w:shd w:val="clear" w:color="auto" w:fill="FFFFFF"/>
        <w:spacing w:before="0" w:beforeAutospacing="0" w:after="120" w:afterAutospacing="0" w:line="288" w:lineRule="auto"/>
        <w:textAlignment w:val="baseline"/>
        <w:rPr>
          <w:rFonts w:ascii="Arial" w:hAnsi="Arial" w:cs="Arial"/>
        </w:rPr>
      </w:pPr>
      <w:r w:rsidRPr="00434734">
        <w:rPr>
          <w:rFonts w:ascii="Arial" w:hAnsi="Arial" w:cs="Arial"/>
        </w:rPr>
        <w:t>Support your claim with at least one</w:t>
      </w:r>
      <w:r w:rsidR="00603FF7">
        <w:rPr>
          <w:rFonts w:ascii="Arial" w:hAnsi="Arial" w:cs="Arial"/>
        </w:rPr>
        <w:t xml:space="preserve"> direct</w:t>
      </w:r>
      <w:r w:rsidRPr="00434734">
        <w:rPr>
          <w:rFonts w:ascii="Arial" w:hAnsi="Arial" w:cs="Arial"/>
        </w:rPr>
        <w:t xml:space="preserve"> citation (quote</w:t>
      </w:r>
      <w:r w:rsidR="00603FF7">
        <w:rPr>
          <w:rFonts w:ascii="Arial" w:hAnsi="Arial" w:cs="Arial"/>
        </w:rPr>
        <w:t>d passage</w:t>
      </w:r>
      <w:r w:rsidRPr="00434734">
        <w:rPr>
          <w:rFonts w:ascii="Arial" w:hAnsi="Arial" w:cs="Arial"/>
        </w:rPr>
        <w:t>) from</w:t>
      </w:r>
      <w:r w:rsidR="00603FF7">
        <w:rPr>
          <w:rStyle w:val="Emphasis"/>
          <w:rFonts w:ascii="Arial" w:hAnsi="Arial" w:cs="Arial"/>
          <w:bdr w:val="none" w:sz="0" w:space="0" w:color="auto" w:frame="1"/>
        </w:rPr>
        <w:t xml:space="preserve"> </w:t>
      </w:r>
      <w:r w:rsidR="00603FF7">
        <w:rPr>
          <w:rStyle w:val="Emphasis"/>
          <w:rFonts w:ascii="Arial" w:hAnsi="Arial" w:cs="Arial"/>
          <w:i w:val="0"/>
          <w:bdr w:val="none" w:sz="0" w:space="0" w:color="auto" w:frame="1"/>
        </w:rPr>
        <w:t xml:space="preserve">the film </w:t>
      </w:r>
      <w:r w:rsidRPr="00434734">
        <w:rPr>
          <w:rFonts w:ascii="Arial" w:hAnsi="Arial" w:cs="Arial"/>
        </w:rPr>
        <w:t>and one citation from a</w:t>
      </w:r>
      <w:r w:rsidR="00603FF7">
        <w:rPr>
          <w:rFonts w:ascii="Arial" w:hAnsi="Arial" w:cs="Arial"/>
        </w:rPr>
        <w:t>n outside source (a</w:t>
      </w:r>
      <w:r w:rsidRPr="00434734">
        <w:rPr>
          <w:rFonts w:ascii="Arial" w:hAnsi="Arial" w:cs="Arial"/>
        </w:rPr>
        <w:t xml:space="preserve"> course reading </w:t>
      </w:r>
      <w:r w:rsidR="00603FF7">
        <w:rPr>
          <w:rFonts w:ascii="Arial" w:hAnsi="Arial" w:cs="Arial"/>
        </w:rPr>
        <w:t>or authoritative source you locate on your own)</w:t>
      </w:r>
      <w:r w:rsidRPr="00434734">
        <w:rPr>
          <w:rFonts w:ascii="Arial" w:hAnsi="Arial" w:cs="Arial"/>
        </w:rPr>
        <w:t xml:space="preserve">. </w:t>
      </w:r>
      <w:r w:rsidR="00603FF7">
        <w:rPr>
          <w:rFonts w:ascii="Arial" w:hAnsi="Arial" w:cs="Arial"/>
        </w:rPr>
        <w:t>Make sure to explain the relevance</w:t>
      </w:r>
      <w:r w:rsidRPr="00434734">
        <w:rPr>
          <w:rFonts w:ascii="Arial" w:hAnsi="Arial" w:cs="Arial"/>
        </w:rPr>
        <w:t xml:space="preserve"> of the cited evidence to the </w:t>
      </w:r>
      <w:r w:rsidR="00603FF7">
        <w:rPr>
          <w:rFonts w:ascii="Arial" w:hAnsi="Arial" w:cs="Arial"/>
        </w:rPr>
        <w:t>argument you are developing.</w:t>
      </w:r>
    </w:p>
    <w:p w14:paraId="4435D12B" w14:textId="229BB040" w:rsidR="004E06DF" w:rsidRPr="00434734" w:rsidRDefault="00603FF7" w:rsidP="000865B1">
      <w:pPr>
        <w:pStyle w:val="NormalWeb"/>
        <w:numPr>
          <w:ilvl w:val="0"/>
          <w:numId w:val="33"/>
        </w:numPr>
        <w:shd w:val="clear" w:color="auto" w:fill="FFFFFF"/>
        <w:spacing w:before="0" w:beforeAutospacing="0" w:after="120" w:afterAutospacing="0" w:line="288" w:lineRule="auto"/>
        <w:textAlignment w:val="baseline"/>
        <w:rPr>
          <w:rFonts w:ascii="Arial" w:hAnsi="Arial" w:cs="Arial"/>
        </w:rPr>
      </w:pPr>
      <w:r>
        <w:rPr>
          <w:rFonts w:ascii="Arial" w:hAnsi="Arial" w:cs="Arial"/>
        </w:rPr>
        <w:t>Include</w:t>
      </w:r>
      <w:r w:rsidR="004E06DF" w:rsidRPr="00434734">
        <w:rPr>
          <w:rFonts w:ascii="Arial" w:hAnsi="Arial" w:cs="Arial"/>
        </w:rPr>
        <w:t xml:space="preserve"> a Works</w:t>
      </w:r>
      <w:r>
        <w:rPr>
          <w:rFonts w:ascii="Arial" w:hAnsi="Arial" w:cs="Arial"/>
        </w:rPr>
        <w:t xml:space="preserve"> Cited </w:t>
      </w:r>
      <w:r w:rsidR="001E24A6">
        <w:rPr>
          <w:rFonts w:ascii="Arial" w:hAnsi="Arial" w:cs="Arial"/>
        </w:rPr>
        <w:t xml:space="preserve">section </w:t>
      </w:r>
      <w:r>
        <w:rPr>
          <w:rFonts w:ascii="Arial" w:hAnsi="Arial" w:cs="Arial"/>
        </w:rPr>
        <w:t>at the bottom of your post. It should comprise</w:t>
      </w:r>
      <w:r w:rsidR="004E06DF" w:rsidRPr="00434734">
        <w:rPr>
          <w:rFonts w:ascii="Arial" w:hAnsi="Arial" w:cs="Arial"/>
        </w:rPr>
        <w:t xml:space="preserve"> a correctly styled entry for the movie and the other source</w:t>
      </w:r>
      <w:r w:rsidR="001E24A6">
        <w:rPr>
          <w:rFonts w:ascii="Arial" w:hAnsi="Arial" w:cs="Arial"/>
        </w:rPr>
        <w:t>s</w:t>
      </w:r>
      <w:r w:rsidR="004E06DF" w:rsidRPr="00434734">
        <w:rPr>
          <w:rFonts w:ascii="Arial" w:hAnsi="Arial" w:cs="Arial"/>
        </w:rPr>
        <w:t xml:space="preserve"> you cite.</w:t>
      </w:r>
    </w:p>
    <w:p w14:paraId="5FA63EE7" w14:textId="77777777" w:rsidR="004E06DF" w:rsidRPr="00434734" w:rsidRDefault="004E06DF" w:rsidP="000865B1">
      <w:pPr>
        <w:pStyle w:val="NormalWeb"/>
        <w:numPr>
          <w:ilvl w:val="0"/>
          <w:numId w:val="33"/>
        </w:numPr>
        <w:shd w:val="clear" w:color="auto" w:fill="FFFFFF"/>
        <w:spacing w:before="0" w:beforeAutospacing="0" w:after="120" w:afterAutospacing="0" w:line="288" w:lineRule="auto"/>
        <w:textAlignment w:val="baseline"/>
        <w:rPr>
          <w:rFonts w:ascii="Arial" w:hAnsi="Arial" w:cs="Arial"/>
        </w:rPr>
      </w:pPr>
      <w:r w:rsidRPr="00434734">
        <w:rPr>
          <w:rFonts w:ascii="Arial" w:hAnsi="Arial" w:cs="Arial"/>
        </w:rPr>
        <w:t>Support your argument with a relevant still from the film, captioned with a complete sentence (subject and conjugated verb) or referenced within the body of the post.</w:t>
      </w:r>
    </w:p>
    <w:p w14:paraId="2030612C" w14:textId="352CB958" w:rsidR="000865B1" w:rsidRPr="000D2265" w:rsidRDefault="004E06DF" w:rsidP="000D2265">
      <w:pPr>
        <w:pStyle w:val="NormalWeb"/>
        <w:numPr>
          <w:ilvl w:val="0"/>
          <w:numId w:val="33"/>
        </w:numPr>
        <w:shd w:val="clear" w:color="auto" w:fill="FFFFFF"/>
        <w:spacing w:before="0" w:beforeAutospacing="0" w:after="240" w:afterAutospacing="0" w:line="288" w:lineRule="auto"/>
        <w:textAlignment w:val="baseline"/>
        <w:rPr>
          <w:rFonts w:ascii="Arial" w:hAnsi="Arial" w:cs="Arial"/>
        </w:rPr>
      </w:pPr>
      <w:r w:rsidRPr="00434734">
        <w:rPr>
          <w:rFonts w:ascii="Arial" w:hAnsi="Arial" w:cs="Arial"/>
        </w:rPr>
        <w:t xml:space="preserve">If you have space, </w:t>
      </w:r>
      <w:r w:rsidR="00603FF7">
        <w:rPr>
          <w:rFonts w:ascii="Arial" w:hAnsi="Arial" w:cs="Arial"/>
        </w:rPr>
        <w:t>you may speculate about how equity in Te Kura Whare a</w:t>
      </w:r>
      <w:r w:rsidRPr="00434734">
        <w:rPr>
          <w:rFonts w:ascii="Arial" w:hAnsi="Arial" w:cs="Arial"/>
        </w:rPr>
        <w:t>pplies to</w:t>
      </w:r>
      <w:r w:rsidR="00603FF7">
        <w:rPr>
          <w:rFonts w:ascii="Arial" w:hAnsi="Arial" w:cs="Arial"/>
        </w:rPr>
        <w:t xml:space="preserve"> Georgia Tech’s Living Building.</w:t>
      </w:r>
    </w:p>
    <w:p w14:paraId="3D1B024A" w14:textId="52AC9AC7" w:rsidR="00E416BF" w:rsidRPr="00CF6249" w:rsidRDefault="00CF6249" w:rsidP="00CF6249">
      <w:pPr>
        <w:pStyle w:val="Box"/>
        <w:spacing w:line="276" w:lineRule="auto"/>
        <w:rPr>
          <w:rFonts w:ascii="Georgia" w:eastAsia="Calibri" w:hAnsi="Georgia" w:cs="Arial"/>
          <w:b/>
          <w:color w:val="auto"/>
          <w:sz w:val="32"/>
          <w:szCs w:val="32"/>
        </w:rPr>
      </w:pPr>
      <w:r>
        <w:rPr>
          <w:rFonts w:ascii="Georgia" w:eastAsia="Calibri" w:hAnsi="Georgia" w:cs="Arial"/>
          <w:b/>
          <w:noProof/>
          <w:color w:val="auto"/>
          <w:sz w:val="32"/>
          <w:szCs w:val="32"/>
        </w:rPr>
        <w:t xml:space="preserve">Resources for </w:t>
      </w:r>
      <w:r w:rsidR="00E416BF" w:rsidRPr="00CF6249">
        <w:rPr>
          <w:rFonts w:ascii="Georgia" w:eastAsia="Calibri" w:hAnsi="Georgia" w:cs="Arial"/>
          <w:b/>
          <w:noProof/>
          <w:color w:val="auto"/>
          <w:sz w:val="32"/>
          <w:szCs w:val="32"/>
        </w:rPr>
        <w:t>Further Reading</w:t>
      </w:r>
    </w:p>
    <w:p w14:paraId="0515A9A6" w14:textId="7BF4DADA" w:rsidR="003A079D" w:rsidRPr="003A079D" w:rsidRDefault="000045B6" w:rsidP="00CF6249">
      <w:pPr>
        <w:spacing w:after="120"/>
        <w:ind w:left="720" w:hanging="720"/>
        <w:rPr>
          <w:rFonts w:ascii="Arial" w:hAnsi="Arial" w:cs="Arial"/>
          <w:color w:val="auto"/>
          <w:sz w:val="24"/>
        </w:rPr>
      </w:pPr>
      <w:hyperlink r:id="rId25" w:history="1">
        <w:r w:rsidR="003A079D" w:rsidRPr="009C10EA">
          <w:rPr>
            <w:rStyle w:val="Hyperlink"/>
            <w:rFonts w:ascii="Arial" w:hAnsi="Arial" w:cs="Arial"/>
            <w:i/>
            <w:sz w:val="24"/>
          </w:rPr>
          <w:t>Address to Tuhoe-Crown Settlement Day in Taneatua</w:t>
        </w:r>
      </w:hyperlink>
      <w:r w:rsidR="003A079D">
        <w:rPr>
          <w:rFonts w:ascii="Arial" w:hAnsi="Arial" w:cs="Arial"/>
          <w:color w:val="auto"/>
          <w:sz w:val="24"/>
        </w:rPr>
        <w:t xml:space="preserve">, </w:t>
      </w:r>
      <w:r w:rsidR="00B22A7B">
        <w:rPr>
          <w:rFonts w:ascii="Arial" w:hAnsi="Arial" w:cs="Arial"/>
          <w:color w:val="auto"/>
          <w:sz w:val="24"/>
        </w:rPr>
        <w:t xml:space="preserve">delivered by Associate Minister of Māori Affairs, </w:t>
      </w:r>
      <w:r w:rsidR="003A079D">
        <w:rPr>
          <w:rFonts w:ascii="Arial" w:hAnsi="Arial" w:cs="Arial"/>
          <w:color w:val="auto"/>
          <w:sz w:val="24"/>
        </w:rPr>
        <w:t>Christopher Finlayson</w:t>
      </w:r>
      <w:r w:rsidR="00B22A7B">
        <w:rPr>
          <w:rFonts w:ascii="Arial" w:hAnsi="Arial" w:cs="Arial"/>
          <w:color w:val="auto"/>
          <w:sz w:val="24"/>
        </w:rPr>
        <w:t xml:space="preserve"> on </w:t>
      </w:r>
      <w:r w:rsidR="009C10EA">
        <w:rPr>
          <w:rFonts w:ascii="Arial" w:hAnsi="Arial" w:cs="Arial"/>
          <w:color w:val="auto"/>
          <w:sz w:val="24"/>
        </w:rPr>
        <w:t>August 22, 2014</w:t>
      </w:r>
    </w:p>
    <w:p w14:paraId="61591A2E" w14:textId="29A0A494" w:rsidR="00AD40E7" w:rsidRDefault="00AD40E7" w:rsidP="00CF6249">
      <w:pPr>
        <w:spacing w:after="120"/>
        <w:ind w:left="720" w:hanging="720"/>
        <w:rPr>
          <w:rFonts w:ascii="Arial" w:hAnsi="Arial" w:cs="Arial"/>
          <w:color w:val="auto"/>
          <w:sz w:val="24"/>
        </w:rPr>
      </w:pPr>
      <w:r>
        <w:rPr>
          <w:rFonts w:ascii="Arial" w:hAnsi="Arial" w:cs="Arial"/>
          <w:color w:val="auto"/>
          <w:sz w:val="24"/>
        </w:rPr>
        <w:t>Angus, Roger. “</w:t>
      </w:r>
      <w:hyperlink r:id="rId26" w:history="1">
        <w:r w:rsidRPr="00AD40E7">
          <w:rPr>
            <w:rStyle w:val="Hyperlink"/>
            <w:rFonts w:ascii="Arial" w:hAnsi="Arial" w:cs="Arial"/>
            <w:sz w:val="24"/>
          </w:rPr>
          <w:t>The 2014 Tūhoe – Crown Settlement in New Zealand and the Concept of Parallel Indigenous Welfare Administration</w:t>
        </w:r>
      </w:hyperlink>
      <w:r>
        <w:rPr>
          <w:rFonts w:ascii="Arial" w:hAnsi="Arial" w:cs="Arial"/>
          <w:color w:val="auto"/>
          <w:sz w:val="24"/>
        </w:rPr>
        <w:t xml:space="preserve">.” </w:t>
      </w:r>
      <w:r>
        <w:rPr>
          <w:rFonts w:ascii="Arial" w:hAnsi="Arial" w:cs="Arial"/>
          <w:i/>
          <w:color w:val="auto"/>
          <w:sz w:val="24"/>
        </w:rPr>
        <w:t>Rights Watch Blog</w:t>
      </w:r>
      <w:r>
        <w:rPr>
          <w:rFonts w:ascii="Arial" w:hAnsi="Arial" w:cs="Arial"/>
          <w:color w:val="auto"/>
          <w:sz w:val="24"/>
        </w:rPr>
        <w:t>, Canadian Civil Liberties Association, 24 Oct. 2016.</w:t>
      </w:r>
    </w:p>
    <w:p w14:paraId="09E0BEE6" w14:textId="1D7657A6" w:rsidR="009C10EA" w:rsidRPr="009C10EA" w:rsidRDefault="009C10EA" w:rsidP="00CF6249">
      <w:pPr>
        <w:spacing w:after="120"/>
        <w:ind w:left="720" w:hanging="720"/>
        <w:rPr>
          <w:rFonts w:ascii="Arial" w:hAnsi="Arial" w:cs="Arial"/>
          <w:color w:val="auto"/>
          <w:sz w:val="24"/>
        </w:rPr>
      </w:pPr>
      <w:r>
        <w:rPr>
          <w:rFonts w:ascii="Arial" w:hAnsi="Arial" w:cs="Arial"/>
          <w:color w:val="auto"/>
          <w:sz w:val="24"/>
        </w:rPr>
        <w:t>Mankelow, Natalie. “</w:t>
      </w:r>
      <w:hyperlink r:id="rId27" w:history="1">
        <w:r w:rsidRPr="009C10EA">
          <w:rPr>
            <w:rStyle w:val="Hyperlink"/>
            <w:rFonts w:ascii="Arial" w:hAnsi="Arial" w:cs="Arial"/>
            <w:sz w:val="24"/>
          </w:rPr>
          <w:t>Crown Makes Formal Apology to the Tūhoe</w:t>
        </w:r>
      </w:hyperlink>
      <w:r>
        <w:rPr>
          <w:rFonts w:ascii="Arial" w:hAnsi="Arial" w:cs="Arial"/>
          <w:color w:val="auto"/>
          <w:sz w:val="24"/>
        </w:rPr>
        <w:t xml:space="preserve">.” </w:t>
      </w:r>
      <w:r>
        <w:rPr>
          <w:rFonts w:ascii="Arial" w:hAnsi="Arial" w:cs="Arial"/>
          <w:i/>
          <w:color w:val="auto"/>
          <w:sz w:val="24"/>
        </w:rPr>
        <w:t xml:space="preserve">Radio New Zealand, </w:t>
      </w:r>
      <w:r>
        <w:rPr>
          <w:rFonts w:ascii="Arial" w:hAnsi="Arial" w:cs="Arial"/>
          <w:color w:val="auto"/>
          <w:sz w:val="24"/>
        </w:rPr>
        <w:t>22 Aug. 2014.</w:t>
      </w:r>
    </w:p>
    <w:p w14:paraId="7D4325E4" w14:textId="36B323CF" w:rsidR="00AD40E7" w:rsidRPr="00AD40E7" w:rsidRDefault="00AD40E7" w:rsidP="00CF6249">
      <w:pPr>
        <w:spacing w:after="120"/>
        <w:ind w:left="720" w:hanging="720"/>
      </w:pPr>
      <w:r>
        <w:rPr>
          <w:rFonts w:ascii="Arial" w:hAnsi="Arial" w:cs="Arial"/>
          <w:color w:val="auto"/>
          <w:sz w:val="24"/>
        </w:rPr>
        <w:t>O’Malley, Vinc</w:t>
      </w:r>
      <w:r w:rsidRPr="00AD40E7">
        <w:rPr>
          <w:rFonts w:ascii="Arial" w:hAnsi="Arial" w:cs="Arial"/>
          <w:color w:val="auto"/>
          <w:sz w:val="24"/>
        </w:rPr>
        <w:t xml:space="preserve">ent. </w:t>
      </w:r>
      <w:r>
        <w:rPr>
          <w:rFonts w:ascii="Arial" w:hAnsi="Arial" w:cs="Arial"/>
          <w:color w:val="auto"/>
          <w:sz w:val="24"/>
        </w:rPr>
        <w:t>“</w:t>
      </w:r>
      <w:hyperlink r:id="rId28" w:history="1">
        <w:r w:rsidRPr="00AD40E7">
          <w:rPr>
            <w:rStyle w:val="Hyperlink"/>
            <w:rFonts w:ascii="Arial" w:eastAsia="Times New Roman" w:hAnsi="Arial" w:cs="Arial"/>
            <w:sz w:val="24"/>
            <w:shd w:val="clear" w:color="auto" w:fill="FFFFFF"/>
          </w:rPr>
          <w:t>Tūhoe-Crown Settlement—Historical Background</w:t>
        </w:r>
      </w:hyperlink>
      <w:r>
        <w:rPr>
          <w:rFonts w:ascii="Arial" w:eastAsia="Times New Roman" w:hAnsi="Arial" w:cs="Arial"/>
          <w:color w:val="auto"/>
          <w:sz w:val="24"/>
          <w:shd w:val="clear" w:color="auto" w:fill="FFFFFF"/>
        </w:rPr>
        <w:t xml:space="preserve">.” </w:t>
      </w:r>
      <w:r w:rsidR="00BC38E3">
        <w:rPr>
          <w:rFonts w:ascii="Arial" w:eastAsia="Times New Roman" w:hAnsi="Arial" w:cs="Arial"/>
          <w:i/>
          <w:color w:val="auto"/>
          <w:sz w:val="24"/>
          <w:shd w:val="clear" w:color="auto" w:fill="FFFFFF"/>
        </w:rPr>
        <w:t>M</w:t>
      </w:r>
      <w:r w:rsidR="00BC38E3" w:rsidRPr="00BC38E3">
        <w:rPr>
          <w:rFonts w:ascii="Arial" w:hAnsi="Arial" w:cs="Arial"/>
          <w:i/>
          <w:color w:val="auto"/>
          <w:sz w:val="24"/>
        </w:rPr>
        <w:t>ā</w:t>
      </w:r>
      <w:r>
        <w:rPr>
          <w:rFonts w:ascii="Arial" w:eastAsia="Times New Roman" w:hAnsi="Arial" w:cs="Arial"/>
          <w:i/>
          <w:color w:val="auto"/>
          <w:sz w:val="24"/>
          <w:shd w:val="clear" w:color="auto" w:fill="FFFFFF"/>
        </w:rPr>
        <w:t xml:space="preserve">ori Law Review, </w:t>
      </w:r>
      <w:r w:rsidR="00BC38E3">
        <w:rPr>
          <w:rFonts w:ascii="Arial" w:eastAsia="Times New Roman" w:hAnsi="Arial" w:cs="Arial"/>
          <w:color w:val="auto"/>
          <w:sz w:val="24"/>
          <w:shd w:val="clear" w:color="auto" w:fill="FFFFFF"/>
        </w:rPr>
        <w:t xml:space="preserve">4 </w:t>
      </w:r>
      <w:r>
        <w:rPr>
          <w:rFonts w:ascii="Arial" w:eastAsia="Times New Roman" w:hAnsi="Arial" w:cs="Arial"/>
          <w:color w:val="auto"/>
          <w:sz w:val="24"/>
          <w:shd w:val="clear" w:color="auto" w:fill="FFFFFF"/>
        </w:rPr>
        <w:t>Oct. 2014.</w:t>
      </w:r>
    </w:p>
    <w:p w14:paraId="12D68A73" w14:textId="39363504" w:rsidR="00AD40E7" w:rsidRPr="00BC38E3" w:rsidRDefault="00BC38E3" w:rsidP="00CF6249">
      <w:pPr>
        <w:spacing w:after="120"/>
        <w:ind w:left="720" w:hanging="720"/>
        <w:rPr>
          <w:rFonts w:ascii="Arial" w:hAnsi="Arial" w:cs="Arial"/>
          <w:color w:val="auto"/>
          <w:sz w:val="24"/>
        </w:rPr>
      </w:pPr>
      <w:r>
        <w:rPr>
          <w:rFonts w:ascii="Arial" w:hAnsi="Arial" w:cs="Arial"/>
          <w:color w:val="auto"/>
          <w:sz w:val="24"/>
        </w:rPr>
        <w:lastRenderedPageBreak/>
        <w:t xml:space="preserve">Stephens, Māmari. </w:t>
      </w:r>
      <w:r w:rsidR="002B4096">
        <w:rPr>
          <w:rFonts w:ascii="Arial" w:hAnsi="Arial" w:cs="Arial"/>
          <w:color w:val="auto"/>
          <w:sz w:val="24"/>
        </w:rPr>
        <w:t>“</w:t>
      </w:r>
      <w:hyperlink r:id="rId29" w:history="1">
        <w:r w:rsidRPr="002B4096">
          <w:rPr>
            <w:rStyle w:val="Hyperlink"/>
            <w:rFonts w:ascii="Arial" w:hAnsi="Arial" w:cs="Arial"/>
            <w:sz w:val="24"/>
          </w:rPr>
          <w:t>T</w:t>
        </w:r>
        <w:r w:rsidR="002B4096" w:rsidRPr="002B4096">
          <w:rPr>
            <w:rStyle w:val="Hyperlink"/>
            <w:rFonts w:ascii="Arial" w:hAnsi="Arial" w:cs="Arial"/>
            <w:sz w:val="24"/>
          </w:rPr>
          <w:t>ū</w:t>
        </w:r>
        <w:r w:rsidRPr="002B4096">
          <w:rPr>
            <w:rStyle w:val="Hyperlink"/>
            <w:rFonts w:ascii="Arial" w:hAnsi="Arial" w:cs="Arial"/>
            <w:sz w:val="24"/>
          </w:rPr>
          <w:t>hoe-Crown Settlement—A Transforming Dawn? The Service Management Plan</w:t>
        </w:r>
      </w:hyperlink>
      <w:r>
        <w:rPr>
          <w:rFonts w:ascii="Arial" w:hAnsi="Arial" w:cs="Arial"/>
          <w:color w:val="auto"/>
          <w:sz w:val="24"/>
        </w:rPr>
        <w:t xml:space="preserve">.” </w:t>
      </w:r>
      <w:r>
        <w:rPr>
          <w:rFonts w:ascii="Arial" w:eastAsia="Times New Roman" w:hAnsi="Arial" w:cs="Arial"/>
          <w:i/>
          <w:color w:val="auto"/>
          <w:sz w:val="24"/>
          <w:shd w:val="clear" w:color="auto" w:fill="FFFFFF"/>
        </w:rPr>
        <w:t>M</w:t>
      </w:r>
      <w:r w:rsidRPr="00BC38E3">
        <w:rPr>
          <w:rFonts w:ascii="Arial" w:hAnsi="Arial" w:cs="Arial"/>
          <w:i/>
          <w:color w:val="auto"/>
          <w:sz w:val="24"/>
        </w:rPr>
        <w:t>ā</w:t>
      </w:r>
      <w:r>
        <w:rPr>
          <w:rFonts w:ascii="Arial" w:eastAsia="Times New Roman" w:hAnsi="Arial" w:cs="Arial"/>
          <w:i/>
          <w:color w:val="auto"/>
          <w:sz w:val="24"/>
          <w:shd w:val="clear" w:color="auto" w:fill="FFFFFF"/>
        </w:rPr>
        <w:t>ori</w:t>
      </w:r>
      <w:r>
        <w:rPr>
          <w:rFonts w:ascii="Arial" w:hAnsi="Arial" w:cs="Arial"/>
          <w:i/>
          <w:color w:val="auto"/>
          <w:sz w:val="24"/>
        </w:rPr>
        <w:t xml:space="preserve"> Law Review, </w:t>
      </w:r>
      <w:r>
        <w:rPr>
          <w:rFonts w:ascii="Arial" w:hAnsi="Arial" w:cs="Arial"/>
          <w:color w:val="auto"/>
          <w:sz w:val="24"/>
        </w:rPr>
        <w:t>2 Oct. 2014.</w:t>
      </w:r>
    </w:p>
    <w:p w14:paraId="58E46C8F" w14:textId="16CBFA97" w:rsidR="009C10EA" w:rsidRDefault="009C10EA" w:rsidP="00CF6249">
      <w:pPr>
        <w:spacing w:after="120"/>
        <w:ind w:left="720" w:hanging="720"/>
        <w:rPr>
          <w:rFonts w:ascii="Arial" w:hAnsi="Arial" w:cs="Arial"/>
          <w:color w:val="auto"/>
          <w:sz w:val="24"/>
        </w:rPr>
      </w:pPr>
      <w:r>
        <w:rPr>
          <w:rFonts w:ascii="Arial" w:hAnsi="Arial" w:cs="Arial"/>
          <w:color w:val="auto"/>
          <w:sz w:val="24"/>
        </w:rPr>
        <w:t>“</w:t>
      </w:r>
      <w:hyperlink r:id="rId30" w:history="1">
        <w:r w:rsidRPr="009C10EA">
          <w:rPr>
            <w:rStyle w:val="Hyperlink"/>
            <w:rFonts w:ascii="Arial" w:hAnsi="Arial" w:cs="Arial"/>
            <w:sz w:val="24"/>
          </w:rPr>
          <w:t>Te Kura Whare</w:t>
        </w:r>
      </w:hyperlink>
      <w:r>
        <w:rPr>
          <w:rFonts w:ascii="Arial" w:hAnsi="Arial" w:cs="Arial"/>
          <w:color w:val="auto"/>
          <w:sz w:val="24"/>
        </w:rPr>
        <w:t xml:space="preserve">.” </w:t>
      </w:r>
      <w:r>
        <w:rPr>
          <w:rFonts w:ascii="Arial" w:hAnsi="Arial" w:cs="Arial"/>
          <w:i/>
          <w:color w:val="auto"/>
          <w:sz w:val="24"/>
        </w:rPr>
        <w:t xml:space="preserve">Living Building Challenge, </w:t>
      </w:r>
      <w:r w:rsidRPr="009C10EA">
        <w:rPr>
          <w:rFonts w:ascii="Arial" w:hAnsi="Arial" w:cs="Arial"/>
          <w:color w:val="auto"/>
          <w:sz w:val="24"/>
        </w:rPr>
        <w:t>International Living Futures Institute,</w:t>
      </w:r>
      <w:r>
        <w:rPr>
          <w:rFonts w:ascii="Arial" w:hAnsi="Arial" w:cs="Arial"/>
          <w:color w:val="auto"/>
          <w:sz w:val="24"/>
        </w:rPr>
        <w:t xml:space="preserve"> 2018.</w:t>
      </w:r>
    </w:p>
    <w:p w14:paraId="2A5930AC" w14:textId="3F9D1FFB" w:rsidR="009C10EA" w:rsidRPr="009C10EA" w:rsidRDefault="009C10EA" w:rsidP="00CF6249">
      <w:pPr>
        <w:spacing w:after="120"/>
        <w:ind w:left="720" w:hanging="720"/>
        <w:rPr>
          <w:rFonts w:ascii="Arial" w:hAnsi="Arial" w:cs="Arial"/>
          <w:color w:val="auto"/>
          <w:sz w:val="24"/>
        </w:rPr>
      </w:pPr>
      <w:r>
        <w:rPr>
          <w:rFonts w:ascii="Arial" w:hAnsi="Arial" w:cs="Arial"/>
          <w:color w:val="auto"/>
          <w:sz w:val="24"/>
        </w:rPr>
        <w:t>“</w:t>
      </w:r>
      <w:hyperlink r:id="rId31" w:history="1">
        <w:r w:rsidRPr="009C10EA">
          <w:rPr>
            <w:rStyle w:val="Hyperlink"/>
            <w:rFonts w:ascii="Arial" w:hAnsi="Arial" w:cs="Arial"/>
            <w:sz w:val="24"/>
          </w:rPr>
          <w:t>Te Kura Whare</w:t>
        </w:r>
      </w:hyperlink>
      <w:r>
        <w:rPr>
          <w:rFonts w:ascii="Arial" w:hAnsi="Arial" w:cs="Arial"/>
          <w:color w:val="auto"/>
          <w:sz w:val="24"/>
        </w:rPr>
        <w:t xml:space="preserve">.” </w:t>
      </w:r>
      <w:r>
        <w:rPr>
          <w:rFonts w:ascii="Arial" w:hAnsi="Arial" w:cs="Arial"/>
          <w:i/>
          <w:color w:val="auto"/>
          <w:sz w:val="24"/>
        </w:rPr>
        <w:t xml:space="preserve">Jasmax, </w:t>
      </w:r>
      <w:r>
        <w:rPr>
          <w:rFonts w:ascii="Arial" w:hAnsi="Arial" w:cs="Arial"/>
          <w:color w:val="auto"/>
          <w:sz w:val="24"/>
        </w:rPr>
        <w:t>2018.</w:t>
      </w:r>
    </w:p>
    <w:p w14:paraId="3C0910EC" w14:textId="327B03AF" w:rsidR="00B4538F" w:rsidRPr="00B4538F" w:rsidRDefault="000045B6" w:rsidP="00CF6249">
      <w:pPr>
        <w:spacing w:after="120"/>
        <w:ind w:left="720" w:hanging="720"/>
        <w:rPr>
          <w:rFonts w:ascii="Arial" w:hAnsi="Arial" w:cs="Arial"/>
          <w:color w:val="auto"/>
          <w:sz w:val="24"/>
        </w:rPr>
      </w:pPr>
      <w:hyperlink r:id="rId32" w:history="1">
        <w:r w:rsidR="00B4538F" w:rsidRPr="00B4538F">
          <w:rPr>
            <w:rStyle w:val="Hyperlink"/>
            <w:rFonts w:ascii="Arial" w:hAnsi="Arial" w:cs="Arial"/>
            <w:sz w:val="24"/>
          </w:rPr>
          <w:t>Te Urewera Act 2014</w:t>
        </w:r>
      </w:hyperlink>
      <w:r w:rsidR="00B4538F">
        <w:rPr>
          <w:rFonts w:ascii="Arial" w:hAnsi="Arial" w:cs="Arial"/>
          <w:color w:val="auto"/>
          <w:sz w:val="24"/>
        </w:rPr>
        <w:t xml:space="preserve">. </w:t>
      </w:r>
      <w:r w:rsidR="00B4538F">
        <w:rPr>
          <w:rFonts w:ascii="Arial" w:hAnsi="Arial" w:cs="Arial"/>
          <w:i/>
          <w:color w:val="auto"/>
          <w:sz w:val="24"/>
        </w:rPr>
        <w:t xml:space="preserve">Parliamentary Counsel Office, </w:t>
      </w:r>
      <w:r w:rsidR="00B4538F">
        <w:rPr>
          <w:rFonts w:ascii="Arial" w:hAnsi="Arial" w:cs="Arial"/>
          <w:color w:val="auto"/>
          <w:sz w:val="24"/>
        </w:rPr>
        <w:t>New Zealand Government, 27 July 2014.</w:t>
      </w:r>
    </w:p>
    <w:p w14:paraId="4D2BBFC7" w14:textId="54365C63" w:rsidR="003A079D" w:rsidRPr="009C10EA" w:rsidRDefault="003A079D" w:rsidP="00CF6249">
      <w:pPr>
        <w:spacing w:after="120"/>
        <w:ind w:left="720" w:hanging="720"/>
        <w:rPr>
          <w:rFonts w:ascii="Arial" w:hAnsi="Arial" w:cs="Arial"/>
          <w:color w:val="auto"/>
          <w:sz w:val="24"/>
        </w:rPr>
      </w:pPr>
      <w:r>
        <w:rPr>
          <w:rFonts w:ascii="Arial" w:hAnsi="Arial" w:cs="Arial"/>
          <w:color w:val="auto"/>
          <w:sz w:val="24"/>
        </w:rPr>
        <w:t>“</w:t>
      </w:r>
      <w:hyperlink r:id="rId33" w:history="1">
        <w:r w:rsidR="009C10EA" w:rsidRPr="00427B5B">
          <w:rPr>
            <w:rStyle w:val="Hyperlink"/>
            <w:rFonts w:ascii="Arial" w:hAnsi="Arial" w:cs="Arial"/>
            <w:sz w:val="24"/>
          </w:rPr>
          <w:t>Te Urewera Maori Thrown into Shocking Po</w:t>
        </w:r>
        <w:r w:rsidRPr="00427B5B">
          <w:rPr>
            <w:rStyle w:val="Hyperlink"/>
            <w:rFonts w:ascii="Arial" w:hAnsi="Arial" w:cs="Arial"/>
            <w:sz w:val="24"/>
          </w:rPr>
          <w:t>verty</w:t>
        </w:r>
        <w:r w:rsidR="009C10EA" w:rsidRPr="00427B5B">
          <w:rPr>
            <w:rStyle w:val="Hyperlink"/>
            <w:rFonts w:ascii="Arial" w:hAnsi="Arial" w:cs="Arial"/>
            <w:sz w:val="24"/>
          </w:rPr>
          <w:t xml:space="preserve"> by Crown</w:t>
        </w:r>
      </w:hyperlink>
      <w:r w:rsidR="009C10EA">
        <w:rPr>
          <w:rFonts w:ascii="Arial" w:hAnsi="Arial" w:cs="Arial"/>
          <w:color w:val="auto"/>
          <w:sz w:val="24"/>
        </w:rPr>
        <w:t>.</w:t>
      </w:r>
      <w:r>
        <w:rPr>
          <w:rFonts w:ascii="Arial" w:hAnsi="Arial" w:cs="Arial"/>
          <w:color w:val="auto"/>
          <w:sz w:val="24"/>
        </w:rPr>
        <w:t>”</w:t>
      </w:r>
      <w:r w:rsidR="00427B5B">
        <w:rPr>
          <w:rFonts w:ascii="Arial" w:hAnsi="Arial" w:cs="Arial"/>
          <w:i/>
          <w:color w:val="auto"/>
          <w:sz w:val="24"/>
        </w:rPr>
        <w:t xml:space="preserve"> </w:t>
      </w:r>
      <w:r w:rsidR="00BC38E3">
        <w:rPr>
          <w:rFonts w:ascii="Arial" w:eastAsia="Times New Roman" w:hAnsi="Arial" w:cs="Arial"/>
          <w:i/>
          <w:color w:val="auto"/>
          <w:sz w:val="24"/>
          <w:shd w:val="clear" w:color="auto" w:fill="FFFFFF"/>
        </w:rPr>
        <w:t>M</w:t>
      </w:r>
      <w:r w:rsidR="00BC38E3" w:rsidRPr="00BC38E3">
        <w:rPr>
          <w:rFonts w:ascii="Arial" w:hAnsi="Arial" w:cs="Arial"/>
          <w:i/>
          <w:color w:val="auto"/>
          <w:sz w:val="24"/>
        </w:rPr>
        <w:t>ā</w:t>
      </w:r>
      <w:r w:rsidR="00BC38E3">
        <w:rPr>
          <w:rFonts w:ascii="Arial" w:eastAsia="Times New Roman" w:hAnsi="Arial" w:cs="Arial"/>
          <w:i/>
          <w:color w:val="auto"/>
          <w:sz w:val="24"/>
          <w:shd w:val="clear" w:color="auto" w:fill="FFFFFF"/>
        </w:rPr>
        <w:t>ori</w:t>
      </w:r>
      <w:r w:rsidR="00427B5B">
        <w:rPr>
          <w:rFonts w:ascii="Arial" w:hAnsi="Arial" w:cs="Arial"/>
          <w:i/>
          <w:color w:val="auto"/>
          <w:sz w:val="24"/>
        </w:rPr>
        <w:t xml:space="preserve"> Television</w:t>
      </w:r>
      <w:r w:rsidR="009C10EA">
        <w:rPr>
          <w:rFonts w:ascii="Arial" w:hAnsi="Arial" w:cs="Arial"/>
          <w:color w:val="auto"/>
          <w:sz w:val="24"/>
        </w:rPr>
        <w:t>, 23 Dec. 2015.</w:t>
      </w:r>
    </w:p>
    <w:p w14:paraId="24EDB342" w14:textId="5A11C56F" w:rsidR="00BC38E3" w:rsidRDefault="00BC38E3" w:rsidP="00CF6249">
      <w:pPr>
        <w:spacing w:after="120"/>
        <w:ind w:left="720" w:hanging="720"/>
        <w:rPr>
          <w:rFonts w:ascii="Arial" w:hAnsi="Arial" w:cs="Arial"/>
          <w:color w:val="auto"/>
          <w:sz w:val="24"/>
        </w:rPr>
      </w:pPr>
      <w:r>
        <w:rPr>
          <w:rFonts w:ascii="Arial" w:hAnsi="Arial" w:cs="Arial"/>
          <w:color w:val="auto"/>
          <w:sz w:val="24"/>
        </w:rPr>
        <w:t>“</w:t>
      </w:r>
      <w:hyperlink r:id="rId34" w:history="1">
        <w:r w:rsidRPr="00B15300">
          <w:rPr>
            <w:rStyle w:val="Hyperlink"/>
            <w:rFonts w:ascii="Arial" w:hAnsi="Arial" w:cs="Arial"/>
            <w:sz w:val="24"/>
          </w:rPr>
          <w:t>The Treaty of Waitangi/Te Tiriti O Waitangi</w:t>
        </w:r>
      </w:hyperlink>
      <w:r>
        <w:rPr>
          <w:rFonts w:ascii="Arial" w:hAnsi="Arial" w:cs="Arial"/>
          <w:color w:val="auto"/>
          <w:sz w:val="24"/>
        </w:rPr>
        <w:t xml:space="preserve">.” </w:t>
      </w:r>
      <w:r w:rsidRPr="00B15300">
        <w:rPr>
          <w:rFonts w:ascii="Arial" w:hAnsi="Arial" w:cs="Arial"/>
          <w:i/>
          <w:color w:val="auto"/>
          <w:sz w:val="24"/>
        </w:rPr>
        <w:t xml:space="preserve">Waitangi Tribunal, </w:t>
      </w:r>
      <w:r>
        <w:rPr>
          <w:rFonts w:ascii="Arial" w:hAnsi="Arial" w:cs="Arial"/>
          <w:color w:val="auto"/>
          <w:sz w:val="24"/>
        </w:rPr>
        <w:t>Ministry of Justice, New Zealand Government, 19 Sept. 2016.</w:t>
      </w:r>
    </w:p>
    <w:p w14:paraId="4FBBA605" w14:textId="00901F2F" w:rsidR="00B4538F" w:rsidRPr="00B4538F" w:rsidRDefault="000045B6" w:rsidP="00CF6249">
      <w:pPr>
        <w:spacing w:after="120"/>
        <w:ind w:left="720" w:hanging="720"/>
        <w:rPr>
          <w:rFonts w:ascii="Arial" w:hAnsi="Arial" w:cs="Arial"/>
          <w:color w:val="auto"/>
          <w:sz w:val="24"/>
        </w:rPr>
      </w:pPr>
      <w:hyperlink r:id="rId35" w:history="1">
        <w:r w:rsidR="00B4538F" w:rsidRPr="00B4538F">
          <w:rPr>
            <w:rStyle w:val="Hyperlink"/>
            <w:rFonts w:ascii="Arial" w:hAnsi="Arial" w:cs="Arial"/>
            <w:sz w:val="24"/>
          </w:rPr>
          <w:t>Tūhoe Claims Settlement Act 2014</w:t>
        </w:r>
      </w:hyperlink>
      <w:r w:rsidR="00B4538F">
        <w:rPr>
          <w:rFonts w:ascii="Arial" w:hAnsi="Arial" w:cs="Arial"/>
          <w:color w:val="auto"/>
          <w:sz w:val="24"/>
        </w:rPr>
        <w:t xml:space="preserve">. </w:t>
      </w:r>
      <w:r w:rsidR="00B4538F">
        <w:rPr>
          <w:rFonts w:ascii="Arial" w:hAnsi="Arial" w:cs="Arial"/>
          <w:i/>
          <w:color w:val="auto"/>
          <w:sz w:val="24"/>
        </w:rPr>
        <w:t xml:space="preserve">Parliamentary Counsel Office, </w:t>
      </w:r>
      <w:r w:rsidR="00B4538F">
        <w:rPr>
          <w:rFonts w:ascii="Arial" w:hAnsi="Arial" w:cs="Arial"/>
          <w:color w:val="auto"/>
          <w:sz w:val="24"/>
        </w:rPr>
        <w:t xml:space="preserve">New Zealand Government, </w:t>
      </w:r>
      <w:r w:rsidR="00495DDF">
        <w:rPr>
          <w:rFonts w:ascii="Arial" w:hAnsi="Arial" w:cs="Arial"/>
          <w:color w:val="auto"/>
          <w:sz w:val="24"/>
        </w:rPr>
        <w:t>1 Sept. 2017.</w:t>
      </w:r>
    </w:p>
    <w:p w14:paraId="7AEE2953" w14:textId="7641C400" w:rsidR="00B4538F" w:rsidRPr="004A45A7" w:rsidRDefault="000045B6" w:rsidP="00CF6249">
      <w:pPr>
        <w:spacing w:after="120"/>
        <w:ind w:left="720" w:hanging="720"/>
        <w:rPr>
          <w:rFonts w:ascii="Arial" w:hAnsi="Arial" w:cs="Arial"/>
          <w:color w:val="auto"/>
          <w:sz w:val="24"/>
        </w:rPr>
      </w:pPr>
      <w:hyperlink r:id="rId36" w:history="1">
        <w:r w:rsidR="004A45A7" w:rsidRPr="00AD40E7">
          <w:rPr>
            <w:rStyle w:val="Hyperlink"/>
            <w:rFonts w:ascii="Arial" w:hAnsi="Arial" w:cs="Arial"/>
            <w:sz w:val="24"/>
          </w:rPr>
          <w:t>Tūhoe Settlement</w:t>
        </w:r>
        <w:r w:rsidR="00B4538F" w:rsidRPr="00AD40E7">
          <w:rPr>
            <w:rStyle w:val="Hyperlink"/>
            <w:rFonts w:ascii="Arial" w:hAnsi="Arial" w:cs="Arial"/>
            <w:sz w:val="24"/>
          </w:rPr>
          <w:t xml:space="preserve"> News Feed</w:t>
        </w:r>
      </w:hyperlink>
      <w:r w:rsidR="00B4538F" w:rsidRPr="004A45A7">
        <w:rPr>
          <w:rFonts w:ascii="Arial" w:hAnsi="Arial" w:cs="Arial"/>
          <w:i/>
          <w:color w:val="auto"/>
          <w:sz w:val="24"/>
        </w:rPr>
        <w:t>,</w:t>
      </w:r>
      <w:r w:rsidR="004A45A7">
        <w:rPr>
          <w:rFonts w:ascii="Arial" w:hAnsi="Arial" w:cs="Arial"/>
          <w:i/>
          <w:color w:val="auto"/>
          <w:sz w:val="24"/>
        </w:rPr>
        <w:t xml:space="preserve"> </w:t>
      </w:r>
      <w:r w:rsidR="004A45A7" w:rsidRPr="004A45A7">
        <w:rPr>
          <w:rFonts w:ascii="Arial" w:hAnsi="Arial" w:cs="Arial"/>
          <w:i/>
          <w:color w:val="auto"/>
          <w:sz w:val="24"/>
        </w:rPr>
        <w:t>Tūhoe</w:t>
      </w:r>
      <w:r w:rsidR="004A45A7">
        <w:rPr>
          <w:rFonts w:ascii="Arial" w:hAnsi="Arial" w:cs="Arial"/>
          <w:i/>
          <w:color w:val="auto"/>
          <w:sz w:val="24"/>
        </w:rPr>
        <w:t xml:space="preserve">, </w:t>
      </w:r>
      <w:r w:rsidR="004A45A7">
        <w:rPr>
          <w:rFonts w:ascii="Arial" w:hAnsi="Arial" w:cs="Arial"/>
          <w:color w:val="auto"/>
          <w:sz w:val="24"/>
        </w:rPr>
        <w:t>2014.</w:t>
      </w:r>
    </w:p>
    <w:p w14:paraId="18D93666" w14:textId="79054B44" w:rsidR="009C10EA" w:rsidRPr="009C10EA" w:rsidRDefault="009C10EA" w:rsidP="00CF6249">
      <w:pPr>
        <w:shd w:val="clear" w:color="auto" w:fill="FFFFFF"/>
        <w:spacing w:before="180" w:after="120"/>
        <w:ind w:left="720" w:hanging="720"/>
        <w:rPr>
          <w:rFonts w:ascii="Arial" w:hAnsi="Arial" w:cs="Arial"/>
          <w:color w:val="auto"/>
          <w:sz w:val="24"/>
        </w:rPr>
      </w:pPr>
      <w:r>
        <w:rPr>
          <w:rFonts w:ascii="Arial" w:hAnsi="Arial" w:cs="Arial"/>
          <w:color w:val="auto"/>
          <w:sz w:val="24"/>
        </w:rPr>
        <w:t>Warnock, Ann. “</w:t>
      </w:r>
      <w:hyperlink r:id="rId37" w:history="1">
        <w:r w:rsidRPr="00427B5B">
          <w:rPr>
            <w:rStyle w:val="Hyperlink"/>
            <w:rFonts w:ascii="Arial" w:hAnsi="Arial" w:cs="Arial"/>
            <w:sz w:val="24"/>
          </w:rPr>
          <w:t>How Tūhoe Is Leading the Way in Sustainable Design</w:t>
        </w:r>
      </w:hyperlink>
      <w:r>
        <w:rPr>
          <w:rFonts w:ascii="Arial" w:hAnsi="Arial" w:cs="Arial"/>
          <w:color w:val="auto"/>
          <w:sz w:val="24"/>
        </w:rPr>
        <w:t xml:space="preserve">.” </w:t>
      </w:r>
      <w:r>
        <w:rPr>
          <w:rFonts w:ascii="Arial" w:hAnsi="Arial" w:cs="Arial"/>
          <w:i/>
          <w:color w:val="auto"/>
          <w:sz w:val="24"/>
        </w:rPr>
        <w:t xml:space="preserve">This NZ Life, </w:t>
      </w:r>
      <w:r>
        <w:rPr>
          <w:rFonts w:ascii="Arial" w:hAnsi="Arial" w:cs="Arial"/>
          <w:color w:val="auto"/>
          <w:sz w:val="24"/>
        </w:rPr>
        <w:t>2018.</w:t>
      </w:r>
    </w:p>
    <w:p w14:paraId="3CAA6C7A" w14:textId="605FD5A1" w:rsidR="006548D7" w:rsidRPr="003A079D" w:rsidRDefault="006548D7" w:rsidP="003A079D">
      <w:pPr>
        <w:shd w:val="clear" w:color="auto" w:fill="FFFFFF"/>
        <w:spacing w:before="180" w:after="180"/>
        <w:rPr>
          <w:rFonts w:ascii="Helvetica Neue" w:hAnsi="Helvetica Neue" w:cs="Times New Roman"/>
          <w:color w:val="auto"/>
          <w:sz w:val="24"/>
        </w:rPr>
      </w:pPr>
      <w:r w:rsidRPr="00434734">
        <w:rPr>
          <w:rFonts w:ascii="Vitesse Black" w:hAnsi="Vitesse Black"/>
          <w:bCs/>
          <w:color w:val="auto"/>
          <w:sz w:val="40"/>
          <w:szCs w:val="40"/>
        </w:rPr>
        <w:br w:type="page"/>
      </w:r>
    </w:p>
    <w:p w14:paraId="31080EC1" w14:textId="1FB59301" w:rsidR="00981CF2" w:rsidRPr="00434734" w:rsidRDefault="00777E22" w:rsidP="002B24C9">
      <w:pPr>
        <w:pBdr>
          <w:bottom w:val="single" w:sz="4" w:space="1" w:color="auto"/>
        </w:pBdr>
        <w:spacing w:after="240"/>
        <w:rPr>
          <w:rFonts w:ascii="Georgia" w:hAnsi="Georgia"/>
          <w:bCs/>
          <w:color w:val="auto"/>
          <w:sz w:val="40"/>
          <w:szCs w:val="40"/>
        </w:rPr>
      </w:pPr>
      <w:r w:rsidRPr="00434734">
        <w:rPr>
          <w:rFonts w:ascii="Georgia" w:hAnsi="Georgia"/>
          <w:bCs/>
          <w:color w:val="auto"/>
          <w:sz w:val="40"/>
          <w:szCs w:val="40"/>
        </w:rPr>
        <w:lastRenderedPageBreak/>
        <w:t xml:space="preserve">SLS Student Learning Outcomes </w:t>
      </w:r>
      <w:bookmarkEnd w:id="1"/>
    </w:p>
    <w:p w14:paraId="34E95B5E" w14:textId="77777777" w:rsidR="00A96543" w:rsidRPr="00A558FF" w:rsidRDefault="00A96543" w:rsidP="00A96543">
      <w:pPr>
        <w:numPr>
          <w:ilvl w:val="0"/>
          <w:numId w:val="25"/>
        </w:numPr>
        <w:spacing w:after="120"/>
        <w:rPr>
          <w:rFonts w:ascii="Arial" w:eastAsia="Calibri" w:hAnsi="Arial" w:cs="Arial"/>
          <w:color w:val="auto"/>
          <w:sz w:val="24"/>
          <w:szCs w:val="22"/>
        </w:rPr>
      </w:pPr>
      <w:r w:rsidRPr="00A558FF">
        <w:rPr>
          <w:rFonts w:ascii="Arial" w:eastAsia="Calibri" w:hAnsi="Arial" w:cs="Arial"/>
          <w:color w:val="auto"/>
          <w:sz w:val="24"/>
          <w:szCs w:val="22"/>
        </w:rPr>
        <w:t>Identify relationships among ecological, social, and economic systems.</w:t>
      </w:r>
    </w:p>
    <w:p w14:paraId="7762E549" w14:textId="77777777" w:rsidR="00A96543" w:rsidRPr="00A558FF" w:rsidRDefault="00A96543" w:rsidP="00A96543">
      <w:pPr>
        <w:numPr>
          <w:ilvl w:val="0"/>
          <w:numId w:val="25"/>
        </w:numPr>
        <w:spacing w:after="120"/>
        <w:rPr>
          <w:rFonts w:ascii="Arial" w:eastAsia="Calibri" w:hAnsi="Arial" w:cs="Arial"/>
          <w:color w:val="auto"/>
          <w:sz w:val="24"/>
          <w:szCs w:val="22"/>
        </w:rPr>
      </w:pPr>
      <w:r w:rsidRPr="00A558FF">
        <w:rPr>
          <w:rFonts w:ascii="Arial" w:eastAsia="Calibri" w:hAnsi="Arial" w:cs="Arial"/>
          <w:color w:val="auto"/>
          <w:sz w:val="24"/>
          <w:szCs w:val="22"/>
        </w:rPr>
        <w:t>Demonstrate skills needed to work effectively in different types of communities.</w:t>
      </w:r>
    </w:p>
    <w:p w14:paraId="28030DF1" w14:textId="77777777" w:rsidR="00A96543" w:rsidRPr="00A558FF" w:rsidRDefault="00A96543" w:rsidP="00A96543">
      <w:pPr>
        <w:numPr>
          <w:ilvl w:val="0"/>
          <w:numId w:val="25"/>
        </w:numPr>
        <w:spacing w:after="120"/>
        <w:rPr>
          <w:rFonts w:ascii="Arial" w:eastAsia="Calibri" w:hAnsi="Arial" w:cs="Arial"/>
          <w:color w:val="auto"/>
          <w:sz w:val="24"/>
          <w:szCs w:val="22"/>
        </w:rPr>
      </w:pPr>
      <w:r w:rsidRPr="00A558FF">
        <w:rPr>
          <w:rFonts w:ascii="Arial" w:eastAsia="Calibri" w:hAnsi="Arial" w:cs="Arial"/>
          <w:color w:val="auto"/>
          <w:sz w:val="24"/>
          <w:szCs w:val="22"/>
        </w:rPr>
        <w:t>Evaluate how decisions impact the sustainability of communities.</w:t>
      </w:r>
    </w:p>
    <w:p w14:paraId="183AAA19" w14:textId="77777777" w:rsidR="00A96543" w:rsidRPr="00A558FF" w:rsidRDefault="00A96543" w:rsidP="00A96543">
      <w:pPr>
        <w:numPr>
          <w:ilvl w:val="0"/>
          <w:numId w:val="25"/>
        </w:numPr>
        <w:spacing w:after="120"/>
        <w:rPr>
          <w:rFonts w:ascii="Arial" w:eastAsia="Calibri" w:hAnsi="Arial" w:cs="Arial"/>
          <w:color w:val="auto"/>
          <w:sz w:val="24"/>
          <w:szCs w:val="22"/>
        </w:rPr>
      </w:pPr>
      <w:r w:rsidRPr="00A558FF">
        <w:rPr>
          <w:rFonts w:ascii="Arial" w:eastAsia="Calibri" w:hAnsi="Arial" w:cs="Arial"/>
          <w:color w:val="auto"/>
          <w:sz w:val="24"/>
          <w:szCs w:val="22"/>
        </w:rPr>
        <w:t>Describe how to use their discipline to make communities more sustainable.*</w:t>
      </w:r>
      <w:r w:rsidRPr="00A558FF">
        <w:rPr>
          <w:rFonts w:ascii="Arial" w:eastAsia="Calibri" w:hAnsi="Arial" w:cs="Arial"/>
          <w:color w:val="auto"/>
          <w:sz w:val="24"/>
          <w:szCs w:val="22"/>
        </w:rPr>
        <w:br/>
      </w:r>
    </w:p>
    <w:p w14:paraId="1D9C48DE" w14:textId="77777777" w:rsidR="00A96543" w:rsidRPr="00A558FF" w:rsidRDefault="00A96543" w:rsidP="00A96543">
      <w:pPr>
        <w:spacing w:after="120"/>
        <w:rPr>
          <w:rFonts w:ascii="Arial" w:eastAsia="Calibri" w:hAnsi="Arial" w:cs="Arial"/>
          <w:color w:val="auto"/>
          <w:sz w:val="24"/>
          <w:szCs w:val="22"/>
        </w:rPr>
      </w:pPr>
      <w:r w:rsidRPr="00A558FF">
        <w:rPr>
          <w:rFonts w:ascii="Arial" w:eastAsia="Calibri" w:hAnsi="Arial" w:cs="Arial"/>
          <w:color w:val="auto"/>
          <w:sz w:val="24"/>
          <w:szCs w:val="22"/>
        </w:rPr>
        <w:t xml:space="preserve">* </w:t>
      </w:r>
      <w:r w:rsidRPr="00A558FF">
        <w:rPr>
          <w:rFonts w:ascii="Arial" w:eastAsia="Calibri" w:hAnsi="Arial" w:cs="Arial"/>
          <w:i/>
          <w:iCs/>
          <w:color w:val="auto"/>
          <w:sz w:val="24"/>
          <w:szCs w:val="22"/>
        </w:rPr>
        <w:t xml:space="preserve">Note: </w:t>
      </w:r>
      <w:r w:rsidRPr="00A558FF">
        <w:rPr>
          <w:rFonts w:ascii="Arial" w:eastAsia="Calibri" w:hAnsi="Arial" w:cs="Arial"/>
          <w:color w:val="auto"/>
          <w:sz w:val="24"/>
          <w:szCs w:val="22"/>
        </w:rPr>
        <w:t>SLO 4 is intended to be used by upper division, project-based courses such as Capstone.</w:t>
      </w:r>
    </w:p>
    <w:p w14:paraId="0FA42094" w14:textId="77777777" w:rsidR="00A96543" w:rsidRPr="00C5095B" w:rsidRDefault="00A96543" w:rsidP="00A96543">
      <w:pPr>
        <w:spacing w:after="120"/>
        <w:rPr>
          <w:rFonts w:ascii="Arial" w:hAnsi="Arial" w:cs="Arial"/>
          <w:b/>
          <w:sz w:val="24"/>
        </w:rPr>
      </w:pPr>
    </w:p>
    <w:p w14:paraId="41CCB7A9" w14:textId="142A46C3" w:rsidR="002B24C9" w:rsidRPr="00434734" w:rsidRDefault="002B24C9" w:rsidP="00A96543">
      <w:pPr>
        <w:spacing w:after="120"/>
        <w:ind w:left="720"/>
        <w:rPr>
          <w:rFonts w:ascii="Arial" w:eastAsia="Calibri" w:hAnsi="Arial" w:cs="Arial"/>
          <w:color w:val="auto"/>
          <w:sz w:val="24"/>
        </w:rPr>
      </w:pPr>
    </w:p>
    <w:sectPr w:rsidR="002B24C9" w:rsidRPr="00434734" w:rsidSect="00D66200">
      <w:headerReference w:type="default" r:id="rId38"/>
      <w:footerReference w:type="default" r:id="rId39"/>
      <w:headerReference w:type="first" r:id="rId40"/>
      <w:footerReference w:type="first" r:id="rId41"/>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E7F87" w14:textId="77777777" w:rsidR="00377B69" w:rsidRDefault="00377B69">
      <w:pPr>
        <w:spacing w:after="0"/>
      </w:pPr>
      <w:r>
        <w:separator/>
      </w:r>
    </w:p>
  </w:endnote>
  <w:endnote w:type="continuationSeparator" w:id="0">
    <w:p w14:paraId="72EC697A" w14:textId="77777777" w:rsidR="00377B69" w:rsidRDefault="00377B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itesse Medium">
    <w:altName w:val="Calibri"/>
    <w:panose1 w:val="00000000000000000000"/>
    <w:charset w:val="4D"/>
    <w:family w:val="auto"/>
    <w:notTrueType/>
    <w:pitch w:val="variable"/>
    <w:sig w:usb0="A000007F" w:usb1="0000004A" w:usb2="00000000" w:usb3="00000000" w:csb0="00000193" w:csb1="00000000"/>
  </w:font>
  <w:font w:name="Vitesse Black">
    <w:altName w:val="Calibri"/>
    <w:panose1 w:val="00000000000000000000"/>
    <w:charset w:val="4D"/>
    <w:family w:val="auto"/>
    <w:notTrueType/>
    <w:pitch w:val="variable"/>
    <w:sig w:usb0="A000007F" w:usb1="0000004A" w:usb2="00000000" w:usb3="00000000" w:csb0="00000193" w:csb1="00000000"/>
  </w:font>
  <w:font w:name="Helvetica Neue">
    <w:altName w:val="Sylfaen"/>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8814895"/>
      <w:docPartObj>
        <w:docPartGallery w:val="Page Numbers (Bottom of Page)"/>
        <w:docPartUnique/>
      </w:docPartObj>
    </w:sdtPr>
    <w:sdtEndPr>
      <w:rPr>
        <w:rStyle w:val="PageNumber"/>
      </w:rPr>
    </w:sdtEndPr>
    <w:sdtContent>
      <w:p w14:paraId="00AD8BA0" w14:textId="77777777" w:rsidR="00377B69" w:rsidRDefault="00377B69" w:rsidP="00D662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4878638"/>
      <w:docPartObj>
        <w:docPartGallery w:val="Page Numbers (Bottom of Page)"/>
        <w:docPartUnique/>
      </w:docPartObj>
    </w:sdtPr>
    <w:sdtEndPr>
      <w:rPr>
        <w:rStyle w:val="PageNumber"/>
      </w:rPr>
    </w:sdtEndPr>
    <w:sdtContent>
      <w:p w14:paraId="1CD21AB2" w14:textId="77777777" w:rsidR="00377B69" w:rsidRDefault="00377B69" w:rsidP="00EF3C6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56E087" w14:textId="77777777" w:rsidR="00377B69" w:rsidRDefault="00377B69" w:rsidP="00EF3C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513894"/>
      <w:docPartObj>
        <w:docPartGallery w:val="Page Numbers (Bottom of Page)"/>
        <w:docPartUnique/>
      </w:docPartObj>
    </w:sdtPr>
    <w:sdtEndPr>
      <w:rPr>
        <w:rStyle w:val="PageNumber"/>
      </w:rPr>
    </w:sdtEndPr>
    <w:sdtContent>
      <w:p w14:paraId="0188C643" w14:textId="7063D32B" w:rsidR="00377B69" w:rsidRDefault="00377B69" w:rsidP="00D662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2AAB83" w14:textId="77777777" w:rsidR="00377B69" w:rsidRPr="00205D46" w:rsidRDefault="000045B6" w:rsidP="00EF3C6D">
    <w:pPr>
      <w:pStyle w:val="Footer"/>
      <w:ind w:right="360"/>
      <w:jc w:val="left"/>
      <w:rPr>
        <w:color w:val="auto"/>
      </w:rPr>
    </w:pPr>
    <w:hyperlink r:id="rId1" w:history="1">
      <w:r w:rsidR="00377B69" w:rsidRPr="00EF3C6D">
        <w:rPr>
          <w:rStyle w:val="Hyperlink"/>
        </w:rPr>
        <w:t>http://serve-learn-sustain.gatech.edu/teaching-toolkit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EF92D" w14:textId="095A6D8C" w:rsidR="00377B69" w:rsidRPr="0099596E" w:rsidRDefault="000045B6" w:rsidP="00CF3821">
    <w:pPr>
      <w:pStyle w:val="Footer"/>
      <w:ind w:right="360"/>
      <w:jc w:val="left"/>
      <w:rPr>
        <w:rFonts w:ascii="Arial" w:hAnsi="Arial" w:cs="Arial"/>
        <w:color w:val="auto"/>
        <w:sz w:val="20"/>
        <w:szCs w:val="20"/>
      </w:rPr>
    </w:pPr>
    <w:hyperlink r:id="rId1" w:history="1">
      <w:r w:rsidR="00377B69" w:rsidRPr="0099596E">
        <w:rPr>
          <w:rStyle w:val="Hyperlink"/>
          <w:rFonts w:ascii="Arial" w:hAnsi="Arial" w:cs="Arial"/>
          <w:color w:val="auto"/>
          <w:sz w:val="20"/>
          <w:szCs w:val="20"/>
          <w:u w:val="none"/>
        </w:rPr>
        <w:t>http://serve-learn-sustain.gatech.edu/teaching-toolkit</w:t>
      </w:r>
    </w:hyperlink>
    <w:r w:rsidR="00377B69">
      <w:rPr>
        <w:rStyle w:val="Hyperlink"/>
        <w:rFonts w:ascii="Arial" w:hAnsi="Arial" w:cs="Arial"/>
        <w:color w:val="auto"/>
        <w:sz w:val="20"/>
        <w:szCs w:val="20"/>
        <w:u w:val="none"/>
      </w:rPr>
      <w:tab/>
    </w:r>
    <w:r w:rsidR="00377B69">
      <w:rPr>
        <w:rStyle w:val="Hyperlink"/>
        <w:rFonts w:ascii="Arial" w:hAnsi="Arial" w:cs="Arial"/>
        <w:color w:val="auto"/>
        <w:sz w:val="20"/>
        <w:szCs w:val="20"/>
        <w:u w:val="none"/>
      </w:rPr>
      <w:tab/>
    </w:r>
    <w:r w:rsidR="00377B69" w:rsidRPr="00747EA3">
      <w:rPr>
        <w:rStyle w:val="Hyperlink"/>
        <w:rFonts w:ascii="Arial" w:hAnsi="Arial" w:cs="Arial"/>
        <w:color w:val="auto"/>
        <w:sz w:val="20"/>
        <w:szCs w:val="20"/>
        <w:u w:val="none"/>
      </w:rPr>
      <w:fldChar w:fldCharType="begin"/>
    </w:r>
    <w:r w:rsidR="00377B69" w:rsidRPr="00747EA3">
      <w:rPr>
        <w:rStyle w:val="Hyperlink"/>
        <w:rFonts w:ascii="Arial" w:hAnsi="Arial" w:cs="Arial"/>
        <w:color w:val="auto"/>
        <w:sz w:val="20"/>
        <w:szCs w:val="20"/>
        <w:u w:val="none"/>
      </w:rPr>
      <w:instrText xml:space="preserve"> PAGE   \* MERGEFORMAT </w:instrText>
    </w:r>
    <w:r w:rsidR="00377B69" w:rsidRPr="00747EA3">
      <w:rPr>
        <w:rStyle w:val="Hyperlink"/>
        <w:rFonts w:ascii="Arial" w:hAnsi="Arial" w:cs="Arial"/>
        <w:color w:val="auto"/>
        <w:sz w:val="20"/>
        <w:szCs w:val="20"/>
        <w:u w:val="none"/>
      </w:rPr>
      <w:fldChar w:fldCharType="separate"/>
    </w:r>
    <w:r w:rsidR="00E43398">
      <w:rPr>
        <w:rStyle w:val="Hyperlink"/>
        <w:rFonts w:ascii="Arial" w:hAnsi="Arial" w:cs="Arial"/>
        <w:noProof/>
        <w:color w:val="auto"/>
        <w:sz w:val="20"/>
        <w:szCs w:val="20"/>
        <w:u w:val="none"/>
      </w:rPr>
      <w:t>1</w:t>
    </w:r>
    <w:r w:rsidR="00377B69" w:rsidRPr="00747EA3">
      <w:rPr>
        <w:rStyle w:val="Hyperlink"/>
        <w:rFonts w:ascii="Arial" w:hAnsi="Arial" w:cs="Arial"/>
        <w:noProof/>
        <w:color w:val="auto"/>
        <w:sz w:val="20"/>
        <w:szCs w:val="20"/>
        <w:u w:val="non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F0DC" w14:textId="503130A9" w:rsidR="00377B69" w:rsidRPr="0099596E" w:rsidRDefault="000045B6" w:rsidP="00EF3C6D">
    <w:pPr>
      <w:pStyle w:val="Footer"/>
      <w:ind w:right="360"/>
      <w:jc w:val="left"/>
      <w:rPr>
        <w:rFonts w:ascii="Arial" w:hAnsi="Arial" w:cs="Arial"/>
        <w:color w:val="auto"/>
        <w:sz w:val="20"/>
        <w:szCs w:val="20"/>
      </w:rPr>
    </w:pPr>
    <w:hyperlink r:id="rId1" w:history="1">
      <w:r w:rsidR="00377B69" w:rsidRPr="0099596E">
        <w:rPr>
          <w:rStyle w:val="Hyperlink"/>
          <w:rFonts w:ascii="Arial" w:hAnsi="Arial" w:cs="Arial"/>
          <w:color w:val="auto"/>
          <w:sz w:val="20"/>
          <w:szCs w:val="20"/>
          <w:u w:val="none"/>
        </w:rPr>
        <w:t>http://serve-learn-sustain.gatech.edu/teaching-toolkit</w:t>
      </w:r>
    </w:hyperlink>
    <w:r w:rsidR="00377B69">
      <w:rPr>
        <w:rStyle w:val="Hyperlink"/>
        <w:rFonts w:ascii="Arial" w:hAnsi="Arial" w:cs="Arial"/>
        <w:color w:val="auto"/>
        <w:sz w:val="20"/>
        <w:szCs w:val="20"/>
        <w:u w:val="none"/>
      </w:rPr>
      <w:tab/>
    </w:r>
    <w:r w:rsidR="00377B69">
      <w:rPr>
        <w:rStyle w:val="Hyperlink"/>
        <w:rFonts w:ascii="Arial" w:hAnsi="Arial" w:cs="Arial"/>
        <w:color w:val="auto"/>
        <w:sz w:val="20"/>
        <w:szCs w:val="20"/>
        <w:u w:val="none"/>
      </w:rPr>
      <w:tab/>
    </w:r>
    <w:r w:rsidR="00377B69" w:rsidRPr="00747EA3">
      <w:rPr>
        <w:rStyle w:val="Hyperlink"/>
        <w:rFonts w:ascii="Arial" w:hAnsi="Arial" w:cs="Arial"/>
        <w:color w:val="auto"/>
        <w:sz w:val="20"/>
        <w:szCs w:val="20"/>
        <w:u w:val="none"/>
      </w:rPr>
      <w:fldChar w:fldCharType="begin"/>
    </w:r>
    <w:r w:rsidR="00377B69" w:rsidRPr="00747EA3">
      <w:rPr>
        <w:rStyle w:val="Hyperlink"/>
        <w:rFonts w:ascii="Arial" w:hAnsi="Arial" w:cs="Arial"/>
        <w:color w:val="auto"/>
        <w:sz w:val="20"/>
        <w:szCs w:val="20"/>
        <w:u w:val="none"/>
      </w:rPr>
      <w:instrText xml:space="preserve"> PAGE   \* MERGEFORMAT </w:instrText>
    </w:r>
    <w:r w:rsidR="00377B69" w:rsidRPr="00747EA3">
      <w:rPr>
        <w:rStyle w:val="Hyperlink"/>
        <w:rFonts w:ascii="Arial" w:hAnsi="Arial" w:cs="Arial"/>
        <w:color w:val="auto"/>
        <w:sz w:val="20"/>
        <w:szCs w:val="20"/>
        <w:u w:val="none"/>
      </w:rPr>
      <w:fldChar w:fldCharType="separate"/>
    </w:r>
    <w:r w:rsidR="00E43398">
      <w:rPr>
        <w:rStyle w:val="Hyperlink"/>
        <w:rFonts w:ascii="Arial" w:hAnsi="Arial" w:cs="Arial"/>
        <w:noProof/>
        <w:color w:val="auto"/>
        <w:sz w:val="20"/>
        <w:szCs w:val="20"/>
        <w:u w:val="none"/>
      </w:rPr>
      <w:t>3</w:t>
    </w:r>
    <w:r w:rsidR="00377B69" w:rsidRPr="00747EA3">
      <w:rPr>
        <w:rStyle w:val="Hyperlink"/>
        <w:rFonts w:ascii="Arial" w:hAnsi="Arial" w:cs="Arial"/>
        <w:noProof/>
        <w:color w:val="auto"/>
        <w:sz w:val="20"/>
        <w:szCs w:val="20"/>
        <w:u w:val="non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CBEE" w14:textId="77777777" w:rsidR="00377B69" w:rsidRDefault="00377B69">
    <w:pPr>
      <w:pStyle w:val="Footer"/>
    </w:pPr>
    <w:r>
      <w:rPr>
        <w:noProof/>
      </w:rPr>
      <w:drawing>
        <wp:inline distT="0" distB="0" distL="0" distR="0" wp14:anchorId="7670D1A2" wp14:editId="612720B8">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763B8" w14:textId="77777777" w:rsidR="00377B69" w:rsidRDefault="00377B69">
      <w:pPr>
        <w:spacing w:after="0"/>
      </w:pPr>
      <w:r>
        <w:separator/>
      </w:r>
    </w:p>
  </w:footnote>
  <w:footnote w:type="continuationSeparator" w:id="0">
    <w:p w14:paraId="4AB5D224" w14:textId="77777777" w:rsidR="00377B69" w:rsidRDefault="00377B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FB9B" w14:textId="77777777" w:rsidR="00377B69" w:rsidRDefault="000045B6">
    <w:pPr>
      <w:pStyle w:val="Header"/>
    </w:pPr>
    <w:r>
      <w:rPr>
        <w:noProof/>
      </w:rPr>
      <w:pict w14:anchorId="4E77E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117B" w14:textId="77777777" w:rsidR="00377B69" w:rsidRDefault="00377B69" w:rsidP="00C20535">
    <w:pPr>
      <w:pStyle w:val="Header"/>
      <w:jc w:val="right"/>
    </w:pPr>
    <w:r>
      <w:rPr>
        <w:noProof/>
      </w:rPr>
      <w:drawing>
        <wp:inline distT="0" distB="0" distL="0" distR="0" wp14:anchorId="69833A4E" wp14:editId="6A60B7D2">
          <wp:extent cx="4444043" cy="40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S-Teaching-Toolkit-Logo.jpg"/>
                  <pic:cNvPicPr/>
                </pic:nvPicPr>
                <pic:blipFill>
                  <a:blip r:embed="rId1">
                    <a:extLst>
                      <a:ext uri="{28A0092B-C50C-407E-A947-70E740481C1C}">
                        <a14:useLocalDpi xmlns:a14="http://schemas.microsoft.com/office/drawing/2010/main" val="0"/>
                      </a:ext>
                    </a:extLst>
                  </a:blip>
                  <a:stretch>
                    <a:fillRect/>
                  </a:stretch>
                </pic:blipFill>
                <pic:spPr>
                  <a:xfrm>
                    <a:off x="0" y="0"/>
                    <a:ext cx="4451009" cy="4102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012A" w14:textId="77777777" w:rsidR="00377B69" w:rsidRDefault="00377B69" w:rsidP="00D66200">
    <w:pPr>
      <w:pStyle w:val="Header"/>
      <w:jc w:val="right"/>
    </w:pPr>
    <w:r>
      <w:rPr>
        <w:noProof/>
      </w:rPr>
      <w:drawing>
        <wp:inline distT="0" distB="0" distL="0" distR="0" wp14:anchorId="090E06DD" wp14:editId="7A2A0B4C">
          <wp:extent cx="5179077" cy="400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ABCC" w14:textId="77777777" w:rsidR="00377B69" w:rsidRDefault="00377B69">
    <w:pPr>
      <w:pStyle w:val="Header"/>
    </w:pPr>
    <w:r>
      <w:rPr>
        <w:noProof/>
      </w:rPr>
      <w:drawing>
        <wp:inline distT="0" distB="0" distL="0" distR="0" wp14:anchorId="3A005999" wp14:editId="3A7A0724">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2A917FB6" w14:textId="77777777" w:rsidR="00377B69" w:rsidRDefault="00377B69">
    <w:pPr>
      <w:pStyle w:val="Header"/>
    </w:pPr>
  </w:p>
  <w:p w14:paraId="2ADD315A" w14:textId="77777777" w:rsidR="00377B69" w:rsidRDefault="00377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35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F2071"/>
    <w:multiLevelType w:val="hybridMultilevel"/>
    <w:tmpl w:val="9E90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836EC"/>
    <w:multiLevelType w:val="hybridMultilevel"/>
    <w:tmpl w:val="7136A18E"/>
    <w:lvl w:ilvl="0" w:tplc="8912EEC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52C1D"/>
    <w:multiLevelType w:val="hybridMultilevel"/>
    <w:tmpl w:val="136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832D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E2E89"/>
    <w:multiLevelType w:val="hybridMultilevel"/>
    <w:tmpl w:val="1EC032AE"/>
    <w:lvl w:ilvl="0" w:tplc="B33A469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05402"/>
    <w:multiLevelType w:val="hybridMultilevel"/>
    <w:tmpl w:val="D7FA27FA"/>
    <w:lvl w:ilvl="0" w:tplc="F99A4E6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55FEF"/>
    <w:multiLevelType w:val="hybridMultilevel"/>
    <w:tmpl w:val="260C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720F2"/>
    <w:multiLevelType w:val="hybridMultilevel"/>
    <w:tmpl w:val="C734B406"/>
    <w:lvl w:ilvl="0" w:tplc="E8AA3DC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42F68"/>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44899"/>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16AEE"/>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60AA7"/>
    <w:multiLevelType w:val="hybridMultilevel"/>
    <w:tmpl w:val="914C9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91D5A"/>
    <w:multiLevelType w:val="hybridMultilevel"/>
    <w:tmpl w:val="DAD4B9A8"/>
    <w:lvl w:ilvl="0" w:tplc="E8EC4E3C">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C26FD"/>
    <w:multiLevelType w:val="hybridMultilevel"/>
    <w:tmpl w:val="C61A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67839"/>
    <w:multiLevelType w:val="multilevel"/>
    <w:tmpl w:val="D8C6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9" w15:restartNumberingAfterBreak="0">
    <w:nsid w:val="4189592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A169D"/>
    <w:multiLevelType w:val="hybridMultilevel"/>
    <w:tmpl w:val="774AB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F474A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B5CE9"/>
    <w:multiLevelType w:val="hybridMultilevel"/>
    <w:tmpl w:val="40AC7B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EB6EF2"/>
    <w:multiLevelType w:val="hybridMultilevel"/>
    <w:tmpl w:val="10A4D9E6"/>
    <w:lvl w:ilvl="0" w:tplc="DA962BBA">
      <w:start w:val="1"/>
      <w:numFmt w:val="decimal"/>
      <w:lvlText w:val="%1."/>
      <w:lvlJc w:val="left"/>
      <w:pPr>
        <w:ind w:left="720" w:hanging="360"/>
      </w:pPr>
      <w:rPr>
        <w:rFonts w:ascii="Helvetica" w:hAnsi="Helvetic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E0313"/>
    <w:multiLevelType w:val="hybridMultilevel"/>
    <w:tmpl w:val="39A6F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346EE"/>
    <w:multiLevelType w:val="hybridMultilevel"/>
    <w:tmpl w:val="19B81C1A"/>
    <w:lvl w:ilvl="0" w:tplc="8BC0AF62">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D5F34D8"/>
    <w:multiLevelType w:val="hybridMultilevel"/>
    <w:tmpl w:val="BA028242"/>
    <w:lvl w:ilvl="0" w:tplc="822A16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560A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B33FC"/>
    <w:multiLevelType w:val="hybridMultilevel"/>
    <w:tmpl w:val="5CC08FA8"/>
    <w:lvl w:ilvl="0" w:tplc="B8D8B526">
      <w:start w:val="1"/>
      <w:numFmt w:val="decimal"/>
      <w:lvlText w:val="%1."/>
      <w:lvlJc w:val="left"/>
      <w:pPr>
        <w:ind w:left="720" w:hanging="360"/>
      </w:pPr>
      <w:rPr>
        <w:b/>
        <w:sz w:val="25"/>
        <w:szCs w:val="2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C820D6"/>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D2193"/>
    <w:multiLevelType w:val="hybridMultilevel"/>
    <w:tmpl w:val="B36E0070"/>
    <w:lvl w:ilvl="0" w:tplc="180025E8">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32" w15:restartNumberingAfterBreak="0">
    <w:nsid w:val="7B55422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14"/>
  </w:num>
  <w:num w:numId="2">
    <w:abstractNumId w:val="3"/>
  </w:num>
  <w:num w:numId="3">
    <w:abstractNumId w:val="18"/>
  </w:num>
  <w:num w:numId="4">
    <w:abstractNumId w:val="33"/>
  </w:num>
  <w:num w:numId="5">
    <w:abstractNumId w:val="31"/>
  </w:num>
  <w:num w:numId="6">
    <w:abstractNumId w:val="10"/>
  </w:num>
  <w:num w:numId="7">
    <w:abstractNumId w:val="21"/>
  </w:num>
  <w:num w:numId="8">
    <w:abstractNumId w:val="32"/>
  </w:num>
  <w:num w:numId="9">
    <w:abstractNumId w:val="12"/>
  </w:num>
  <w:num w:numId="10">
    <w:abstractNumId w:val="19"/>
  </w:num>
  <w:num w:numId="11">
    <w:abstractNumId w:val="11"/>
  </w:num>
  <w:num w:numId="12">
    <w:abstractNumId w:val="2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29"/>
  </w:num>
  <w:num w:numId="17">
    <w:abstractNumId w:val="4"/>
  </w:num>
  <w:num w:numId="18">
    <w:abstractNumId w:val="17"/>
  </w:num>
  <w:num w:numId="19">
    <w:abstractNumId w:val="5"/>
  </w:num>
  <w:num w:numId="20">
    <w:abstractNumId w:val="7"/>
  </w:num>
  <w:num w:numId="21">
    <w:abstractNumId w:val="25"/>
  </w:num>
  <w:num w:numId="22">
    <w:abstractNumId w:val="30"/>
  </w:num>
  <w:num w:numId="23">
    <w:abstractNumId w:val="23"/>
  </w:num>
  <w:num w:numId="24">
    <w:abstractNumId w:val="24"/>
  </w:num>
  <w:num w:numId="25">
    <w:abstractNumId w:val="6"/>
  </w:num>
  <w:num w:numId="26">
    <w:abstractNumId w:val="9"/>
  </w:num>
  <w:num w:numId="27">
    <w:abstractNumId w:val="15"/>
  </w:num>
  <w:num w:numId="28">
    <w:abstractNumId w:val="2"/>
  </w:num>
  <w:num w:numId="29">
    <w:abstractNumId w:val="1"/>
  </w:num>
  <w:num w:numId="30">
    <w:abstractNumId w:val="20"/>
  </w:num>
  <w:num w:numId="31">
    <w:abstractNumId w:val="22"/>
  </w:num>
  <w:num w:numId="32">
    <w:abstractNumId w:val="13"/>
  </w:num>
  <w:num w:numId="33">
    <w:abstractNumId w:val="16"/>
  </w:num>
  <w:num w:numId="34">
    <w:abstractNumId w:val="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22A"/>
    <w:rsid w:val="000045B6"/>
    <w:rsid w:val="00022AE4"/>
    <w:rsid w:val="000354C6"/>
    <w:rsid w:val="00081FA6"/>
    <w:rsid w:val="00084647"/>
    <w:rsid w:val="000865B1"/>
    <w:rsid w:val="000B0F3B"/>
    <w:rsid w:val="000D2265"/>
    <w:rsid w:val="001404D9"/>
    <w:rsid w:val="0015330C"/>
    <w:rsid w:val="00153719"/>
    <w:rsid w:val="00163763"/>
    <w:rsid w:val="00176F3F"/>
    <w:rsid w:val="0019468A"/>
    <w:rsid w:val="001E24A6"/>
    <w:rsid w:val="001E7E4B"/>
    <w:rsid w:val="00205D46"/>
    <w:rsid w:val="00210843"/>
    <w:rsid w:val="002170BB"/>
    <w:rsid w:val="00232416"/>
    <w:rsid w:val="00242BE0"/>
    <w:rsid w:val="002450E8"/>
    <w:rsid w:val="00247911"/>
    <w:rsid w:val="00271A37"/>
    <w:rsid w:val="00273DF5"/>
    <w:rsid w:val="00281D47"/>
    <w:rsid w:val="002B24C9"/>
    <w:rsid w:val="002B4096"/>
    <w:rsid w:val="002B51D4"/>
    <w:rsid w:val="00302D70"/>
    <w:rsid w:val="00330BEE"/>
    <w:rsid w:val="00337AA9"/>
    <w:rsid w:val="00355CE2"/>
    <w:rsid w:val="00377B69"/>
    <w:rsid w:val="00377EA4"/>
    <w:rsid w:val="00380831"/>
    <w:rsid w:val="00384BA9"/>
    <w:rsid w:val="003A079D"/>
    <w:rsid w:val="003D41B3"/>
    <w:rsid w:val="003E0AAA"/>
    <w:rsid w:val="003F402C"/>
    <w:rsid w:val="003F5398"/>
    <w:rsid w:val="0041209C"/>
    <w:rsid w:val="00427B5B"/>
    <w:rsid w:val="0043193E"/>
    <w:rsid w:val="00434734"/>
    <w:rsid w:val="004503D1"/>
    <w:rsid w:val="0046002F"/>
    <w:rsid w:val="00472809"/>
    <w:rsid w:val="0048305D"/>
    <w:rsid w:val="00487DA6"/>
    <w:rsid w:val="004932B0"/>
    <w:rsid w:val="00495DDF"/>
    <w:rsid w:val="004A45A7"/>
    <w:rsid w:val="004B1C13"/>
    <w:rsid w:val="004C428C"/>
    <w:rsid w:val="004E06DF"/>
    <w:rsid w:val="004E6C05"/>
    <w:rsid w:val="00503E01"/>
    <w:rsid w:val="00507678"/>
    <w:rsid w:val="00522705"/>
    <w:rsid w:val="00526B5B"/>
    <w:rsid w:val="0053117F"/>
    <w:rsid w:val="00553651"/>
    <w:rsid w:val="00555E52"/>
    <w:rsid w:val="00556574"/>
    <w:rsid w:val="00576CD1"/>
    <w:rsid w:val="0058377C"/>
    <w:rsid w:val="005A62FE"/>
    <w:rsid w:val="005C1055"/>
    <w:rsid w:val="005E1750"/>
    <w:rsid w:val="00603FF7"/>
    <w:rsid w:val="006074FD"/>
    <w:rsid w:val="006547F7"/>
    <w:rsid w:val="006548D7"/>
    <w:rsid w:val="00660BCF"/>
    <w:rsid w:val="00664451"/>
    <w:rsid w:val="006729A9"/>
    <w:rsid w:val="00681222"/>
    <w:rsid w:val="00693624"/>
    <w:rsid w:val="006B56F8"/>
    <w:rsid w:val="006D2814"/>
    <w:rsid w:val="006E7AC4"/>
    <w:rsid w:val="00706CF6"/>
    <w:rsid w:val="00712D81"/>
    <w:rsid w:val="007138C5"/>
    <w:rsid w:val="007153F9"/>
    <w:rsid w:val="00717DB1"/>
    <w:rsid w:val="00747EA3"/>
    <w:rsid w:val="00777E22"/>
    <w:rsid w:val="00790C70"/>
    <w:rsid w:val="00792274"/>
    <w:rsid w:val="007A0C67"/>
    <w:rsid w:val="007A433F"/>
    <w:rsid w:val="007B2705"/>
    <w:rsid w:val="007D147D"/>
    <w:rsid w:val="007D3F89"/>
    <w:rsid w:val="007F787A"/>
    <w:rsid w:val="00824F76"/>
    <w:rsid w:val="00845666"/>
    <w:rsid w:val="00857283"/>
    <w:rsid w:val="008B782E"/>
    <w:rsid w:val="008C17CA"/>
    <w:rsid w:val="009012E8"/>
    <w:rsid w:val="00912E60"/>
    <w:rsid w:val="009227B5"/>
    <w:rsid w:val="009375EB"/>
    <w:rsid w:val="009519AE"/>
    <w:rsid w:val="009619E8"/>
    <w:rsid w:val="00966FD8"/>
    <w:rsid w:val="00981CF2"/>
    <w:rsid w:val="00983FEC"/>
    <w:rsid w:val="00994E08"/>
    <w:rsid w:val="0099596E"/>
    <w:rsid w:val="00997E1B"/>
    <w:rsid w:val="009B62E2"/>
    <w:rsid w:val="009C10EA"/>
    <w:rsid w:val="009D2F78"/>
    <w:rsid w:val="009E448C"/>
    <w:rsid w:val="00A0089F"/>
    <w:rsid w:val="00A04509"/>
    <w:rsid w:val="00A04787"/>
    <w:rsid w:val="00A3461D"/>
    <w:rsid w:val="00A5622A"/>
    <w:rsid w:val="00A7651B"/>
    <w:rsid w:val="00A76F07"/>
    <w:rsid w:val="00A9608D"/>
    <w:rsid w:val="00A96543"/>
    <w:rsid w:val="00AA7BA4"/>
    <w:rsid w:val="00AD40E7"/>
    <w:rsid w:val="00AF6D3D"/>
    <w:rsid w:val="00B15300"/>
    <w:rsid w:val="00B22A7B"/>
    <w:rsid w:val="00B2773C"/>
    <w:rsid w:val="00B4538F"/>
    <w:rsid w:val="00B45747"/>
    <w:rsid w:val="00B45D8F"/>
    <w:rsid w:val="00BC38E3"/>
    <w:rsid w:val="00BC5ECD"/>
    <w:rsid w:val="00BD5483"/>
    <w:rsid w:val="00C05861"/>
    <w:rsid w:val="00C20535"/>
    <w:rsid w:val="00C46AFA"/>
    <w:rsid w:val="00C725A8"/>
    <w:rsid w:val="00C7734C"/>
    <w:rsid w:val="00CB0248"/>
    <w:rsid w:val="00CC58D4"/>
    <w:rsid w:val="00CD249E"/>
    <w:rsid w:val="00CF3821"/>
    <w:rsid w:val="00CF6249"/>
    <w:rsid w:val="00D1231A"/>
    <w:rsid w:val="00D1516D"/>
    <w:rsid w:val="00D2160F"/>
    <w:rsid w:val="00D402AA"/>
    <w:rsid w:val="00D66200"/>
    <w:rsid w:val="00DB6D3E"/>
    <w:rsid w:val="00DE2E36"/>
    <w:rsid w:val="00E0446E"/>
    <w:rsid w:val="00E153DC"/>
    <w:rsid w:val="00E416BF"/>
    <w:rsid w:val="00E43398"/>
    <w:rsid w:val="00E764D1"/>
    <w:rsid w:val="00EA4088"/>
    <w:rsid w:val="00EC5C55"/>
    <w:rsid w:val="00ED6E65"/>
    <w:rsid w:val="00EF1CFB"/>
    <w:rsid w:val="00EF277E"/>
    <w:rsid w:val="00EF3C6D"/>
    <w:rsid w:val="00F00C7D"/>
    <w:rsid w:val="00F37BB8"/>
    <w:rsid w:val="00F53EB2"/>
    <w:rsid w:val="00F654FA"/>
    <w:rsid w:val="00F829FF"/>
    <w:rsid w:val="00FB244D"/>
    <w:rsid w:val="00FC3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8B0B8BA"/>
  <w15:docId w15:val="{C2EE9C7D-06B1-4710-B622-5A1E8D58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5622A"/>
    <w:pPr>
      <w:spacing w:after="360" w:line="240" w:lineRule="auto"/>
    </w:pPr>
    <w:rPr>
      <w:rFonts w:ascii="Trebuchet MS" w:hAnsi="Trebuchet MS"/>
      <w:color w:val="545454"/>
      <w:sz w:val="18"/>
      <w:szCs w:val="24"/>
    </w:rPr>
  </w:style>
  <w:style w:type="paragraph" w:styleId="Heading1">
    <w:name w:val="heading 1"/>
    <w:basedOn w:val="Normal"/>
    <w:next w:val="Normal"/>
    <w:link w:val="Heading1Char"/>
    <w:uiPriority w:val="9"/>
    <w:qFormat/>
    <w:rsid w:val="007A0C67"/>
    <w:pPr>
      <w:spacing w:line="288" w:lineRule="auto"/>
      <w:outlineLvl w:val="0"/>
    </w:pPr>
    <w:rPr>
      <w:rFonts w:cs="Times New Roman"/>
      <w:b/>
      <w:color w:val="auto"/>
      <w:sz w:val="36"/>
      <w:szCs w:val="36"/>
    </w:rPr>
  </w:style>
  <w:style w:type="paragraph" w:styleId="Heading2">
    <w:name w:val="heading 2"/>
    <w:basedOn w:val="Normal"/>
    <w:next w:val="Normal"/>
    <w:link w:val="Heading2Char"/>
    <w:uiPriority w:val="9"/>
    <w:semiHidden/>
    <w:unhideWhenUsed/>
    <w:qFormat/>
    <w:rsid w:val="00F65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54FA"/>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2A"/>
    <w:pPr>
      <w:tabs>
        <w:tab w:val="center" w:pos="4680"/>
        <w:tab w:val="right" w:pos="9360"/>
      </w:tabs>
    </w:pPr>
  </w:style>
  <w:style w:type="character" w:customStyle="1" w:styleId="HeaderChar">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iPriority w:val="99"/>
    <w:unhideWhenUsed/>
    <w:rsid w:val="00A5622A"/>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uiPriority w:val="34"/>
    <w:qFormat/>
    <w:rsid w:val="00A5622A"/>
    <w:pPr>
      <w:ind w:left="720"/>
      <w:contextualSpacing/>
    </w:pPr>
  </w:style>
  <w:style w:type="table" w:styleId="TableGrid">
    <w:name w:val="Table Grid"/>
    <w:basedOn w:val="TableNormal"/>
    <w:uiPriority w:val="39"/>
    <w:rsid w:val="00A5622A"/>
    <w:pPr>
      <w:spacing w:after="0" w:line="240" w:lineRule="auto"/>
    </w:pPr>
    <w:rPr>
      <w:rFonts w:asciiTheme="minorHAnsi" w:hAnsiTheme="minorHAnsi"/>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5622A"/>
    <w:pPr>
      <w:spacing w:before="120" w:after="180"/>
    </w:pPr>
  </w:style>
  <w:style w:type="character" w:customStyle="1" w:styleId="Heading1Char">
    <w:name w:val="Heading 1 Char"/>
    <w:basedOn w:val="DefaultParagraphFont"/>
    <w:link w:val="Heading1"/>
    <w:uiPriority w:val="9"/>
    <w:rsid w:val="007A0C67"/>
    <w:rPr>
      <w:rFonts w:ascii="Trebuchet MS" w:hAnsi="Trebuchet MS" w:cs="Times New Roman"/>
      <w:b/>
      <w:sz w:val="36"/>
      <w:szCs w:val="36"/>
    </w:rPr>
  </w:style>
  <w:style w:type="character" w:customStyle="1" w:styleId="normaltextrun">
    <w:name w:val="normaltextrun"/>
    <w:basedOn w:val="DefaultParagraphFont"/>
    <w:rsid w:val="007A0C67"/>
  </w:style>
  <w:style w:type="paragraph" w:customStyle="1" w:styleId="paragraph">
    <w:name w:val="paragraph"/>
    <w:basedOn w:val="Normal"/>
    <w:rsid w:val="007A0C67"/>
    <w:pPr>
      <w:spacing w:before="100" w:beforeAutospacing="1" w:after="100" w:afterAutospacing="1"/>
    </w:pPr>
    <w:rPr>
      <w:rFonts w:ascii="Times New Roman" w:eastAsia="Times New Roman" w:hAnsi="Times New Roman" w:cs="Times New Roman"/>
      <w:color w:val="auto"/>
      <w:sz w:val="24"/>
    </w:rPr>
  </w:style>
  <w:style w:type="paragraph" w:customStyle="1" w:styleId="Default">
    <w:name w:val="Default"/>
    <w:rsid w:val="007A0C67"/>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681222"/>
    <w:rPr>
      <w:color w:val="0563C1" w:themeColor="hyperlink"/>
      <w:u w:val="single"/>
    </w:rPr>
  </w:style>
  <w:style w:type="character" w:customStyle="1" w:styleId="UnresolvedMention1">
    <w:name w:val="Unresolved Mention1"/>
    <w:basedOn w:val="DefaultParagraphFont"/>
    <w:uiPriority w:val="99"/>
    <w:semiHidden/>
    <w:unhideWhenUsed/>
    <w:rsid w:val="00681222"/>
    <w:rPr>
      <w:color w:val="808080"/>
      <w:shd w:val="clear" w:color="auto" w:fill="E6E6E6"/>
    </w:rPr>
  </w:style>
  <w:style w:type="character" w:customStyle="1" w:styleId="Heading2Char">
    <w:name w:val="Heading 2 Char"/>
    <w:basedOn w:val="DefaultParagraphFont"/>
    <w:link w:val="Heading2"/>
    <w:uiPriority w:val="9"/>
    <w:semiHidden/>
    <w:rsid w:val="00F654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54FA"/>
    <w:rPr>
      <w:rFonts w:asciiTheme="majorHAnsi" w:eastAsiaTheme="majorEastAsia" w:hAnsiTheme="majorHAnsi" w:cstheme="majorBidi"/>
      <w:color w:val="1F3763" w:themeColor="accent1" w:themeShade="7F"/>
      <w:szCs w:val="24"/>
    </w:rPr>
  </w:style>
  <w:style w:type="paragraph" w:styleId="Bibliography">
    <w:name w:val="Bibliography"/>
    <w:basedOn w:val="Normal"/>
    <w:next w:val="Normal"/>
    <w:uiPriority w:val="37"/>
    <w:semiHidden/>
    <w:unhideWhenUsed/>
    <w:rsid w:val="00F654FA"/>
  </w:style>
  <w:style w:type="character" w:customStyle="1" w:styleId="peg1">
    <w:name w:val="_pe_g1"/>
    <w:basedOn w:val="DefaultParagraphFont"/>
    <w:rsid w:val="00777E22"/>
  </w:style>
  <w:style w:type="paragraph" w:customStyle="1" w:styleId="Caption1">
    <w:name w:val="Caption1"/>
    <w:basedOn w:val="Normal"/>
    <w:next w:val="Normal"/>
    <w:uiPriority w:val="35"/>
    <w:unhideWhenUsed/>
    <w:qFormat/>
    <w:rsid w:val="00777E22"/>
    <w:pPr>
      <w:spacing w:after="200"/>
    </w:pPr>
    <w:rPr>
      <w:rFonts w:cs="Times New Roman"/>
      <w:i/>
      <w:iCs/>
      <w:color w:val="44546A"/>
      <w:szCs w:val="18"/>
    </w:rPr>
  </w:style>
  <w:style w:type="character" w:styleId="PageNumber">
    <w:name w:val="page number"/>
    <w:basedOn w:val="DefaultParagraphFont"/>
    <w:uiPriority w:val="99"/>
    <w:semiHidden/>
    <w:unhideWhenUsed/>
    <w:rsid w:val="00EF3C6D"/>
  </w:style>
  <w:style w:type="character" w:styleId="CommentReference">
    <w:name w:val="annotation reference"/>
    <w:basedOn w:val="DefaultParagraphFont"/>
    <w:uiPriority w:val="99"/>
    <w:semiHidden/>
    <w:unhideWhenUsed/>
    <w:rsid w:val="00553651"/>
    <w:rPr>
      <w:sz w:val="16"/>
      <w:szCs w:val="16"/>
    </w:rPr>
  </w:style>
  <w:style w:type="paragraph" w:styleId="CommentText">
    <w:name w:val="annotation text"/>
    <w:basedOn w:val="Normal"/>
    <w:link w:val="CommentTextChar"/>
    <w:uiPriority w:val="99"/>
    <w:semiHidden/>
    <w:unhideWhenUsed/>
    <w:rsid w:val="00553651"/>
    <w:rPr>
      <w:sz w:val="20"/>
      <w:szCs w:val="20"/>
    </w:rPr>
  </w:style>
  <w:style w:type="character" w:customStyle="1" w:styleId="CommentTextChar">
    <w:name w:val="Comment Text Char"/>
    <w:basedOn w:val="DefaultParagraphFont"/>
    <w:link w:val="CommentText"/>
    <w:uiPriority w:val="99"/>
    <w:semiHidden/>
    <w:rsid w:val="00553651"/>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553651"/>
    <w:rPr>
      <w:b/>
      <w:bCs/>
    </w:rPr>
  </w:style>
  <w:style w:type="character" w:customStyle="1" w:styleId="CommentSubjectChar">
    <w:name w:val="Comment Subject Char"/>
    <w:basedOn w:val="CommentTextChar"/>
    <w:link w:val="CommentSubject"/>
    <w:uiPriority w:val="99"/>
    <w:semiHidden/>
    <w:rsid w:val="00553651"/>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55365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53651"/>
    <w:rPr>
      <w:rFonts w:ascii="Segoe UI" w:hAnsi="Segoe UI" w:cs="Segoe UI"/>
      <w:color w:val="545454"/>
      <w:sz w:val="18"/>
      <w:szCs w:val="18"/>
    </w:rPr>
  </w:style>
  <w:style w:type="paragraph" w:styleId="NormalWeb">
    <w:name w:val="Normal (Web)"/>
    <w:basedOn w:val="Normal"/>
    <w:uiPriority w:val="99"/>
    <w:unhideWhenUsed/>
    <w:rsid w:val="00983FEC"/>
    <w:pPr>
      <w:spacing w:before="100" w:beforeAutospacing="1" w:after="100" w:afterAutospacing="1"/>
    </w:pPr>
    <w:rPr>
      <w:rFonts w:ascii="Times New Roman" w:eastAsia="Times New Roman" w:hAnsi="Times New Roman" w:cs="Times New Roman"/>
      <w:color w:val="auto"/>
      <w:sz w:val="24"/>
    </w:rPr>
  </w:style>
  <w:style w:type="character" w:styleId="FollowedHyperlink">
    <w:name w:val="FollowedHyperlink"/>
    <w:basedOn w:val="DefaultParagraphFont"/>
    <w:uiPriority w:val="99"/>
    <w:semiHidden/>
    <w:unhideWhenUsed/>
    <w:rsid w:val="00384BA9"/>
    <w:rPr>
      <w:color w:val="954F72" w:themeColor="followedHyperlink"/>
      <w:u w:val="single"/>
    </w:rPr>
  </w:style>
  <w:style w:type="character" w:styleId="Emphasis">
    <w:name w:val="Emphasis"/>
    <w:basedOn w:val="DefaultParagraphFont"/>
    <w:uiPriority w:val="20"/>
    <w:qFormat/>
    <w:rsid w:val="004E06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15208">
      <w:bodyDiv w:val="1"/>
      <w:marLeft w:val="0"/>
      <w:marRight w:val="0"/>
      <w:marTop w:val="0"/>
      <w:marBottom w:val="0"/>
      <w:divBdr>
        <w:top w:val="none" w:sz="0" w:space="0" w:color="auto"/>
        <w:left w:val="none" w:sz="0" w:space="0" w:color="auto"/>
        <w:bottom w:val="none" w:sz="0" w:space="0" w:color="auto"/>
        <w:right w:val="none" w:sz="0" w:space="0" w:color="auto"/>
      </w:divBdr>
    </w:div>
    <w:div w:id="604390560">
      <w:bodyDiv w:val="1"/>
      <w:marLeft w:val="0"/>
      <w:marRight w:val="0"/>
      <w:marTop w:val="0"/>
      <w:marBottom w:val="0"/>
      <w:divBdr>
        <w:top w:val="none" w:sz="0" w:space="0" w:color="auto"/>
        <w:left w:val="none" w:sz="0" w:space="0" w:color="auto"/>
        <w:bottom w:val="none" w:sz="0" w:space="0" w:color="auto"/>
        <w:right w:val="none" w:sz="0" w:space="0" w:color="auto"/>
      </w:divBdr>
    </w:div>
    <w:div w:id="777220589">
      <w:bodyDiv w:val="1"/>
      <w:marLeft w:val="0"/>
      <w:marRight w:val="0"/>
      <w:marTop w:val="0"/>
      <w:marBottom w:val="0"/>
      <w:divBdr>
        <w:top w:val="none" w:sz="0" w:space="0" w:color="auto"/>
        <w:left w:val="none" w:sz="0" w:space="0" w:color="auto"/>
        <w:bottom w:val="none" w:sz="0" w:space="0" w:color="auto"/>
        <w:right w:val="none" w:sz="0" w:space="0" w:color="auto"/>
      </w:divBdr>
    </w:div>
    <w:div w:id="1077282804">
      <w:bodyDiv w:val="1"/>
      <w:marLeft w:val="0"/>
      <w:marRight w:val="0"/>
      <w:marTop w:val="0"/>
      <w:marBottom w:val="0"/>
      <w:divBdr>
        <w:top w:val="none" w:sz="0" w:space="0" w:color="auto"/>
        <w:left w:val="none" w:sz="0" w:space="0" w:color="auto"/>
        <w:bottom w:val="none" w:sz="0" w:space="0" w:color="auto"/>
        <w:right w:val="none" w:sz="0" w:space="0" w:color="auto"/>
      </w:divBdr>
    </w:div>
    <w:div w:id="1202136382">
      <w:bodyDiv w:val="1"/>
      <w:marLeft w:val="0"/>
      <w:marRight w:val="0"/>
      <w:marTop w:val="0"/>
      <w:marBottom w:val="0"/>
      <w:divBdr>
        <w:top w:val="none" w:sz="0" w:space="0" w:color="auto"/>
        <w:left w:val="none" w:sz="0" w:space="0" w:color="auto"/>
        <w:bottom w:val="none" w:sz="0" w:space="0" w:color="auto"/>
        <w:right w:val="none" w:sz="0" w:space="0" w:color="auto"/>
      </w:divBdr>
    </w:div>
    <w:div w:id="1790393765">
      <w:bodyDiv w:val="1"/>
      <w:marLeft w:val="0"/>
      <w:marRight w:val="0"/>
      <w:marTop w:val="0"/>
      <w:marBottom w:val="0"/>
      <w:divBdr>
        <w:top w:val="none" w:sz="0" w:space="0" w:color="auto"/>
        <w:left w:val="none" w:sz="0" w:space="0" w:color="auto"/>
        <w:bottom w:val="none" w:sz="0" w:space="0" w:color="auto"/>
        <w:right w:val="none" w:sz="0" w:space="0" w:color="auto"/>
      </w:divBdr>
    </w:div>
    <w:div w:id="1848204157">
      <w:bodyDiv w:val="1"/>
      <w:marLeft w:val="0"/>
      <w:marRight w:val="0"/>
      <w:marTop w:val="0"/>
      <w:marBottom w:val="0"/>
      <w:divBdr>
        <w:top w:val="none" w:sz="0" w:space="0" w:color="auto"/>
        <w:left w:val="none" w:sz="0" w:space="0" w:color="auto"/>
        <w:bottom w:val="none" w:sz="0" w:space="0" w:color="auto"/>
        <w:right w:val="none" w:sz="0" w:space="0" w:color="auto"/>
      </w:divBdr>
    </w:div>
    <w:div w:id="20062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ellen.zegura@gatech.edu" TargetMode="External"/><Relationship Id="rId26" Type="http://schemas.openxmlformats.org/officeDocument/2006/relationships/hyperlink" Target="http://rightswatch.ca/2016/10/24/the-2014-tuhoe-crown-settlement-in-new-zealand-and-the-concept-of-parallel-indigenous-welfare-adminstration/"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newzealand.com/us/feature/te-urewera/" TargetMode="External"/><Relationship Id="rId34" Type="http://schemas.openxmlformats.org/officeDocument/2006/relationships/hyperlink" Target="https://waitangitribunal.govt.nz/treaty-of-waitangi/signing-of-the-treaty/"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ellen.zegura@gatech.edu" TargetMode="External"/><Relationship Id="rId25" Type="http://schemas.openxmlformats.org/officeDocument/2006/relationships/hyperlink" Target="https://www.beehive.govt.nz/speech/address-tuhoe-crown-settlement-day-taneatua" TargetMode="External"/><Relationship Id="rId33" Type="http://schemas.openxmlformats.org/officeDocument/2006/relationships/hyperlink" Target="http://www.maoritelevision.com/news/regional/te-urewera-maori-forced-shocking-poverty-crown"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gatech.kanopy.com/video/ever-land" TargetMode="External"/><Relationship Id="rId29" Type="http://schemas.openxmlformats.org/officeDocument/2006/relationships/hyperlink" Target="http://maorilawreview.co.nz/2014/10/tuhoe-crown-settlement-a-transforming-dawn-the-service-management-plan/"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e-learn-sustain.gatech.edu/tool-category/assessment" TargetMode="External"/><Relationship Id="rId24" Type="http://schemas.openxmlformats.org/officeDocument/2006/relationships/hyperlink" Target="http://blogs.iac.gatech.edu/wp-admin/" TargetMode="External"/><Relationship Id="rId32" Type="http://schemas.openxmlformats.org/officeDocument/2006/relationships/hyperlink" Target="http://www.legislation.govt.nz/act/public/2014/0051/latest/DLM6183601.html" TargetMode="External"/><Relationship Id="rId37" Type="http://schemas.openxmlformats.org/officeDocument/2006/relationships/hyperlink" Target="https://thisnzlife.co.nz/tuhoe-leading-way-sustainable-design/"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ngaituhoe.iwi.nz/te-urewera" TargetMode="External"/><Relationship Id="rId28" Type="http://schemas.openxmlformats.org/officeDocument/2006/relationships/hyperlink" Target="http://maorilawreview.co.nz/2014/10/tuhoe-crown-settlement-historical-background/" TargetMode="External"/><Relationship Id="rId36" Type="http://schemas.openxmlformats.org/officeDocument/2006/relationships/hyperlink" Target="http://www.ngaituhoe.iwi.nz/tuhoe-settlement/f/30" TargetMode="External"/><Relationship Id="rId10" Type="http://schemas.openxmlformats.org/officeDocument/2006/relationships/hyperlink" Target="http://serve-learn-sustain.gatech.edu/big-idea/participatory-processes-and-collaborative-governance" TargetMode="External"/><Relationship Id="rId19" Type="http://schemas.openxmlformats.org/officeDocument/2006/relationships/hyperlink" Target="https://living-future.org/lbc/equity-petal/" TargetMode="External"/><Relationship Id="rId31" Type="http://schemas.openxmlformats.org/officeDocument/2006/relationships/hyperlink" Target="https://www.jasmax.com/work/te-kura-whare/sectors/cultural-and-civic/1152" TargetMode="External"/><Relationship Id="rId4" Type="http://schemas.openxmlformats.org/officeDocument/2006/relationships/settings" Target="settings.xml"/><Relationship Id="rId9" Type="http://schemas.openxmlformats.org/officeDocument/2006/relationships/hyperlink" Target="http://serve-learn-sustain.gatech.edu/understanding-local-history-and-context" TargetMode="External"/><Relationship Id="rId14" Type="http://schemas.openxmlformats.org/officeDocument/2006/relationships/footer" Target="footer1.xml"/><Relationship Id="rId22" Type="http://schemas.openxmlformats.org/officeDocument/2006/relationships/hyperlink" Target="https://www.nzgeo.com/stories/who-are-tuhoe/" TargetMode="External"/><Relationship Id="rId27" Type="http://schemas.openxmlformats.org/officeDocument/2006/relationships/hyperlink" Target="https://www.radionz.co.nz/news/national/252741/crown-makes-formal-apology-to-tuhoe" TargetMode="External"/><Relationship Id="rId30" Type="http://schemas.openxmlformats.org/officeDocument/2006/relationships/hyperlink" Target="https://living-future.org/lbc/case-studies/te-kura-whare/" TargetMode="External"/><Relationship Id="rId35" Type="http://schemas.openxmlformats.org/officeDocument/2006/relationships/hyperlink" Target="http://www.legislation.govt.nz/act/public/2014/0050/latest/DLM5481230.html"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71824-E214-4776-ADDC-4A18FA59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Bethany Jacobs</cp:lastModifiedBy>
  <cp:revision>5</cp:revision>
  <dcterms:created xsi:type="dcterms:W3CDTF">2018-08-27T15:30:00Z</dcterms:created>
  <dcterms:modified xsi:type="dcterms:W3CDTF">2018-10-17T13:50:00Z</dcterms:modified>
</cp:coreProperties>
</file>